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1164C0" w14:textId="77777777" w:rsidR="005B02F5" w:rsidRPr="00956B32" w:rsidRDefault="005B02F5" w:rsidP="005B02F5">
      <w:pPr>
        <w:spacing w:after="24" w:line="259" w:lineRule="auto"/>
        <w:ind w:left="0" w:right="14" w:firstLine="0"/>
        <w:jc w:val="center"/>
        <w:rPr>
          <w:b/>
          <w:bCs/>
          <w:color w:val="000000" w:themeColor="text1"/>
        </w:rPr>
      </w:pPr>
      <w:bookmarkStart w:id="0" w:name="_GoBack"/>
      <w:bookmarkEnd w:id="0"/>
      <w:r w:rsidRPr="00956B32">
        <w:rPr>
          <w:b/>
          <w:bCs/>
          <w:color w:val="000000" w:themeColor="text1"/>
          <w:sz w:val="40"/>
        </w:rPr>
        <w:t xml:space="preserve">ŠILALĖS LOPŠELIO-DARŽELIO „ŽIOGELIS“ </w:t>
      </w:r>
    </w:p>
    <w:p w14:paraId="6A52ED71" w14:textId="0B161DF6" w:rsidR="005B02F5" w:rsidRPr="00956B32" w:rsidRDefault="005B02F5" w:rsidP="005B02F5">
      <w:pPr>
        <w:spacing w:after="188" w:line="259" w:lineRule="auto"/>
        <w:jc w:val="center"/>
        <w:rPr>
          <w:b/>
          <w:bCs/>
          <w:color w:val="000000" w:themeColor="text1"/>
        </w:rPr>
      </w:pPr>
      <w:r w:rsidRPr="00956B32">
        <w:rPr>
          <w:b/>
          <w:bCs/>
          <w:color w:val="000000" w:themeColor="text1"/>
        </w:rPr>
        <w:t>2024-2025 M.M. I</w:t>
      </w:r>
      <w:r w:rsidR="009F393B" w:rsidRPr="00956B32">
        <w:rPr>
          <w:b/>
          <w:bCs/>
          <w:color w:val="000000" w:themeColor="text1"/>
        </w:rPr>
        <w:t>I</w:t>
      </w:r>
      <w:r w:rsidRPr="00956B32">
        <w:rPr>
          <w:b/>
          <w:bCs/>
          <w:color w:val="000000" w:themeColor="text1"/>
        </w:rPr>
        <w:t xml:space="preserve"> PUSMEČIO  </w:t>
      </w:r>
    </w:p>
    <w:p w14:paraId="0A6C0423" w14:textId="77777777" w:rsidR="005B02F5" w:rsidRPr="00956B32" w:rsidRDefault="005B02F5" w:rsidP="005B02F5">
      <w:pPr>
        <w:spacing w:after="188" w:line="259" w:lineRule="auto"/>
        <w:ind w:right="9"/>
        <w:jc w:val="center"/>
        <w:rPr>
          <w:b/>
          <w:bCs/>
          <w:color w:val="000000" w:themeColor="text1"/>
        </w:rPr>
      </w:pPr>
      <w:r w:rsidRPr="00956B32">
        <w:rPr>
          <w:b/>
          <w:bCs/>
          <w:color w:val="000000" w:themeColor="text1"/>
        </w:rPr>
        <w:t xml:space="preserve">UGDYTINIŲ UGDYMO (-SI) PASIEKIMŲ  </w:t>
      </w:r>
    </w:p>
    <w:p w14:paraId="6CE75E65" w14:textId="77777777" w:rsidR="005B02F5" w:rsidRPr="00956B32" w:rsidRDefault="005B02F5" w:rsidP="005B02F5">
      <w:pPr>
        <w:spacing w:after="188" w:line="259" w:lineRule="auto"/>
        <w:ind w:right="15"/>
        <w:jc w:val="center"/>
        <w:rPr>
          <w:b/>
          <w:bCs/>
          <w:color w:val="000000" w:themeColor="text1"/>
        </w:rPr>
      </w:pPr>
      <w:r w:rsidRPr="00956B32">
        <w:rPr>
          <w:b/>
          <w:bCs/>
          <w:color w:val="000000" w:themeColor="text1"/>
        </w:rPr>
        <w:t xml:space="preserve">ANALIZĖ </w:t>
      </w:r>
    </w:p>
    <w:p w14:paraId="031D44ED" w14:textId="77777777" w:rsidR="005B02F5" w:rsidRPr="00956B32" w:rsidRDefault="005B02F5" w:rsidP="005B02F5">
      <w:pPr>
        <w:spacing w:after="14" w:line="378" w:lineRule="auto"/>
        <w:ind w:left="24" w:right="0"/>
        <w:rPr>
          <w:color w:val="000000" w:themeColor="text1"/>
        </w:rPr>
      </w:pPr>
      <w:r w:rsidRPr="00956B32">
        <w:rPr>
          <w:color w:val="000000" w:themeColor="text1"/>
        </w:rPr>
        <w:t xml:space="preserve">                    Vadovaujantis ŠMM Ikimokyklinio amžiaus vaikų pasiekimų aprašu pedagogai, lygindami ugdytinio kalbos, bendravimo, elgesio situacijas, kūrybos darbelius su pasiekimų žingsnių aprašymais, nustato, kuriame pasiekimų žingsnyje yra ugdytinis. Vaiko pažanga vienoje, keliose ar visose ugdymosi srityse nustatoma periodiškai stebint ir fiksuojant jo pasiekimus. </w:t>
      </w:r>
    </w:p>
    <w:p w14:paraId="14E9F1DF" w14:textId="77777777" w:rsidR="005B02F5" w:rsidRPr="00956B32" w:rsidRDefault="005B02F5" w:rsidP="005B02F5">
      <w:pPr>
        <w:spacing w:line="360" w:lineRule="auto"/>
        <w:ind w:left="24" w:right="0"/>
        <w:rPr>
          <w:color w:val="000000" w:themeColor="text1"/>
        </w:rPr>
      </w:pPr>
      <w:r w:rsidRPr="00956B32">
        <w:rPr>
          <w:color w:val="000000" w:themeColor="text1"/>
        </w:rPr>
        <w:t xml:space="preserve">                   Ugdytinių pasiekimų vertinimo analizė patalpinta ir įstaigos internetinėje svetainėje </w:t>
      </w:r>
      <w:hyperlink r:id="rId8">
        <w:r w:rsidRPr="00956B32">
          <w:rPr>
            <w:color w:val="000000" w:themeColor="text1"/>
            <w:u w:val="single" w:color="0563C1"/>
          </w:rPr>
          <w:t>www.silalesdarzelis.lt</w:t>
        </w:r>
      </w:hyperlink>
      <w:hyperlink r:id="rId9">
        <w:r w:rsidRPr="00956B32">
          <w:rPr>
            <w:color w:val="000000" w:themeColor="text1"/>
          </w:rPr>
          <w:t xml:space="preserve"> </w:t>
        </w:r>
      </w:hyperlink>
    </w:p>
    <w:p w14:paraId="11E7488C" w14:textId="2187ACCB" w:rsidR="006B07AF" w:rsidRPr="00956B32" w:rsidRDefault="002D4B25" w:rsidP="00F2604D">
      <w:pPr>
        <w:spacing w:after="0" w:line="360" w:lineRule="auto"/>
        <w:ind w:left="23" w:right="0" w:firstLine="1270"/>
        <w:rPr>
          <w:color w:val="000000" w:themeColor="text1"/>
        </w:rPr>
      </w:pPr>
      <w:r w:rsidRPr="00956B32">
        <w:rPr>
          <w:color w:val="000000" w:themeColor="text1"/>
        </w:rPr>
        <w:t>2024-2025 m.</w:t>
      </w:r>
      <w:r w:rsidR="009F393B" w:rsidRPr="00956B32">
        <w:rPr>
          <w:color w:val="000000" w:themeColor="text1"/>
        </w:rPr>
        <w:t xml:space="preserve"> </w:t>
      </w:r>
      <w:r w:rsidRPr="00956B32">
        <w:rPr>
          <w:color w:val="000000" w:themeColor="text1"/>
        </w:rPr>
        <w:t>m. Šilalės lopšelį-darželį „Žiogelis“ lanko 318 ugdytinių</w:t>
      </w:r>
      <w:r w:rsidR="00F2604D" w:rsidRPr="00956B32">
        <w:rPr>
          <w:color w:val="000000" w:themeColor="text1"/>
        </w:rPr>
        <w:t xml:space="preserve">. </w:t>
      </w:r>
      <w:r w:rsidRPr="00956B32">
        <w:rPr>
          <w:color w:val="000000" w:themeColor="text1"/>
        </w:rPr>
        <w:t xml:space="preserve"> </w:t>
      </w:r>
      <w:r w:rsidR="006B07AF" w:rsidRPr="00956B32">
        <w:rPr>
          <w:color w:val="000000" w:themeColor="text1"/>
        </w:rPr>
        <w:t>Iš atliktos 2024–2025 m. m. II pusmečio ugdytinių pasiekimų vertinimo analizės paaiškėjo, kad Šilalės lopšelio-darželio „Žiogelis“ ugdytinių pasiekimai pagal amžių 54,5 % viršijo, 20,7 % atitiko ir 14,5 % neatitiko apraše nurodytų žingsnių (žr. 1 pav.).</w:t>
      </w:r>
    </w:p>
    <w:p w14:paraId="256F76CD" w14:textId="73147354" w:rsidR="00964901" w:rsidRDefault="00C34B5C" w:rsidP="002D4B25">
      <w:pPr>
        <w:spacing w:after="0" w:line="399" w:lineRule="auto"/>
        <w:ind w:left="24" w:right="0"/>
      </w:pPr>
      <w:r>
        <w:rPr>
          <w:noProof/>
        </w:rPr>
        <w:drawing>
          <wp:inline distT="0" distB="0" distL="0" distR="0" wp14:anchorId="729952A0" wp14:editId="7F03C0BA">
            <wp:extent cx="6000751" cy="3367087"/>
            <wp:effectExtent l="0" t="0" r="0" b="5080"/>
            <wp:docPr id="1464913557" name="Chart 1">
              <a:extLst xmlns:a="http://schemas.openxmlformats.org/drawingml/2006/main">
                <a:ext uri="{FF2B5EF4-FFF2-40B4-BE49-F238E27FC236}">
                  <a16:creationId xmlns:a16="http://schemas.microsoft.com/office/drawing/2014/main" id="{CA2CC0CE-2521-AD4A-13E7-75165122108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9A50209" w14:textId="77777777" w:rsidR="00CD76CA" w:rsidRDefault="00002740" w:rsidP="00CD76CA">
      <w:pPr>
        <w:spacing w:after="0" w:line="360" w:lineRule="auto"/>
        <w:ind w:left="23" w:right="0" w:firstLine="1270"/>
      </w:pPr>
      <w:r w:rsidRPr="00EC7062">
        <w:rPr>
          <w:b/>
          <w:bCs/>
        </w:rPr>
        <w:t>1 pav</w:t>
      </w:r>
      <w:r>
        <w:t xml:space="preserve">. </w:t>
      </w:r>
      <w:r w:rsidRPr="00956B32">
        <w:rPr>
          <w:i/>
          <w:iCs/>
        </w:rPr>
        <w:t>2024-2025 m.</w:t>
      </w:r>
      <w:r w:rsidR="00C34B5C" w:rsidRPr="00956B32">
        <w:rPr>
          <w:i/>
          <w:iCs/>
        </w:rPr>
        <w:t xml:space="preserve"> </w:t>
      </w:r>
      <w:r w:rsidRPr="00956B32">
        <w:rPr>
          <w:i/>
          <w:iCs/>
        </w:rPr>
        <w:t>m. ugdytinių pasiekimų vertinimo rezultatai (proc.)</w:t>
      </w:r>
      <w:r w:rsidR="00CD76CA" w:rsidRPr="00CD76CA">
        <w:t xml:space="preserve"> </w:t>
      </w:r>
    </w:p>
    <w:p w14:paraId="2D304437" w14:textId="77777777" w:rsidR="00CD76CA" w:rsidRDefault="00CD76CA" w:rsidP="00CD76CA">
      <w:pPr>
        <w:spacing w:after="0" w:line="360" w:lineRule="auto"/>
        <w:ind w:left="23" w:right="0" w:firstLine="1270"/>
      </w:pPr>
    </w:p>
    <w:p w14:paraId="29E7227D" w14:textId="38BFC2DE" w:rsidR="009E012F" w:rsidRDefault="00CD76CA" w:rsidP="00CD76CA">
      <w:pPr>
        <w:spacing w:after="0" w:line="360" w:lineRule="auto"/>
        <w:ind w:left="23" w:right="0" w:firstLine="1270"/>
      </w:pPr>
      <w:r w:rsidRPr="002716D3">
        <w:t>Analizuojant 2024–2025 m. m. pradėjusių lankyti, I jaunesniųjų grupių, t. y. „Nykštukų“, „Ąžuoliukų“, „Kačiukų“, „Skruzdėliukų“ gr. ugdymo(-si) pasiekimų rezultatus (</w:t>
      </w:r>
      <w:r>
        <w:t xml:space="preserve">žr. </w:t>
      </w:r>
      <w:r w:rsidRPr="002716D3">
        <w:t xml:space="preserve">2 </w:t>
      </w:r>
      <w:r w:rsidRPr="002716D3">
        <w:lastRenderedPageBreak/>
        <w:t xml:space="preserve">pav.), paaiškėjo, kad bendras „Nykštukų“ grupės pasiekimų vidurkis – 1,8, „Ąžuoliukų“ – 2,5, </w:t>
      </w:r>
      <w:r>
        <w:rPr>
          <w:noProof/>
        </w:rPr>
        <w:drawing>
          <wp:anchor distT="0" distB="0" distL="114300" distR="114300" simplePos="0" relativeHeight="251660288" behindDoc="0" locked="0" layoutInCell="1" allowOverlap="1" wp14:anchorId="1376F0F2" wp14:editId="684D18AD">
            <wp:simplePos x="0" y="0"/>
            <wp:positionH relativeFrom="column">
              <wp:posOffset>692241</wp:posOffset>
            </wp:positionH>
            <wp:positionV relativeFrom="paragraph">
              <wp:posOffset>643074</wp:posOffset>
            </wp:positionV>
            <wp:extent cx="4867275" cy="3143250"/>
            <wp:effectExtent l="0" t="0" r="9525" b="0"/>
            <wp:wrapTopAndBottom/>
            <wp:docPr id="1234486214" name="Chart 1">
              <a:extLst xmlns:a="http://schemas.openxmlformats.org/drawingml/2006/main">
                <a:ext uri="{FF2B5EF4-FFF2-40B4-BE49-F238E27FC236}">
                  <a16:creationId xmlns:a16="http://schemas.microsoft.com/office/drawing/2014/main" id="{488E4AEF-69CC-E475-92E5-D320E7ABCB3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r w:rsidRPr="002716D3">
        <w:t>„Kačiukų“ – 2,8, „Skruzdėliukų“ – 2,7</w:t>
      </w:r>
      <w:r>
        <w:t>.</w:t>
      </w:r>
    </w:p>
    <w:p w14:paraId="2322CCDC" w14:textId="6D79A211" w:rsidR="00C24E95" w:rsidRDefault="004B5AB7" w:rsidP="004B5AB7">
      <w:pPr>
        <w:spacing w:after="188" w:line="259" w:lineRule="auto"/>
        <w:ind w:left="182" w:right="15" w:firstLine="0"/>
        <w:jc w:val="center"/>
      </w:pPr>
      <w:r w:rsidRPr="00AC39CC">
        <w:rPr>
          <w:b/>
          <w:bCs/>
        </w:rPr>
        <w:t>2 pav.</w:t>
      </w:r>
      <w:r w:rsidRPr="004B5AB7">
        <w:t xml:space="preserve"> </w:t>
      </w:r>
      <w:r w:rsidRPr="00EC7062">
        <w:rPr>
          <w:i/>
          <w:iCs/>
        </w:rPr>
        <w:t xml:space="preserve">I jaunesniųjų grupių ugdytinių pasiekimų vidurkis </w:t>
      </w:r>
      <w:r w:rsidR="00AC39CC" w:rsidRPr="00EC7062">
        <w:rPr>
          <w:i/>
          <w:iCs/>
        </w:rPr>
        <w:t>pagal</w:t>
      </w:r>
      <w:r w:rsidRPr="00EC7062">
        <w:rPr>
          <w:i/>
          <w:iCs/>
        </w:rPr>
        <w:t xml:space="preserve"> grupes (žingsniais)</w:t>
      </w:r>
      <w:r w:rsidRPr="004B5AB7">
        <w:t xml:space="preserve"> </w:t>
      </w:r>
    </w:p>
    <w:p w14:paraId="74B48B03" w14:textId="0DB36759" w:rsidR="00F60FC4" w:rsidRPr="00F97B25" w:rsidRDefault="002716D3" w:rsidP="00F60FC4">
      <w:pPr>
        <w:spacing w:after="0" w:line="360" w:lineRule="auto"/>
        <w:ind w:left="23" w:right="0" w:firstLine="1270"/>
      </w:pPr>
      <w:r w:rsidRPr="00F97B25">
        <w:t>I jaunesniųjų grupių ugdytinių stipriausios ugdymo(-si) sritys (</w:t>
      </w:r>
      <w:r w:rsidR="00AC39CC" w:rsidRPr="00F97B25">
        <w:t xml:space="preserve">žr. </w:t>
      </w:r>
      <w:r w:rsidRPr="00F97B25">
        <w:t>3 pav.):</w:t>
      </w:r>
      <w:r w:rsidRPr="00F97B25">
        <w:br/>
      </w:r>
      <w:r w:rsidR="00F97B25" w:rsidRPr="00F97B25">
        <w:t>fizinis aktyvumas (2), santykiai su suaugusiaisiais (6), aplinkos pažinimas (10), iniciatyvumas ir atkaklumas (14), kūrybiškumas (17).</w:t>
      </w:r>
    </w:p>
    <w:p w14:paraId="662FE7F9" w14:textId="29DFCB00" w:rsidR="002716D3" w:rsidRPr="00F97B25" w:rsidRDefault="002716D3" w:rsidP="00F60FC4">
      <w:pPr>
        <w:spacing w:after="0" w:line="360" w:lineRule="auto"/>
        <w:ind w:left="23" w:right="0" w:firstLine="1270"/>
      </w:pPr>
      <w:r w:rsidRPr="00F97B25">
        <w:t>Tobulintinos sritys:</w:t>
      </w:r>
      <w:r w:rsidR="00AC39CC" w:rsidRPr="00F97B25">
        <w:t xml:space="preserve"> </w:t>
      </w:r>
      <w:r w:rsidR="00F97B25" w:rsidRPr="00F97B25">
        <w:t>skaičiavimas ir matavimas (11), sakytinė kalba (8), rašytinė kalba (9), problemų sprendimas (16), tyrinėjimas (15).</w:t>
      </w:r>
    </w:p>
    <w:p w14:paraId="1AABDE9A" w14:textId="5CD80897" w:rsidR="00C24E95" w:rsidRPr="00CD76CA" w:rsidRDefault="00CD76CA" w:rsidP="00CD76CA">
      <w:pPr>
        <w:ind w:left="24" w:right="0"/>
      </w:pPr>
      <w:r>
        <w:rPr>
          <w:noProof/>
        </w:rPr>
        <w:drawing>
          <wp:inline distT="0" distB="0" distL="0" distR="0" wp14:anchorId="7431656D" wp14:editId="1DB491A5">
            <wp:extent cx="5638800" cy="2699657"/>
            <wp:effectExtent l="0" t="0" r="0" b="5715"/>
            <wp:docPr id="277382346" name="Chart 1">
              <a:extLst xmlns:a="http://schemas.openxmlformats.org/drawingml/2006/main">
                <a:ext uri="{FF2B5EF4-FFF2-40B4-BE49-F238E27FC236}">
                  <a16:creationId xmlns:a16="http://schemas.microsoft.com/office/drawing/2014/main" id="{ACD7C4FD-A5CA-31FF-1013-9AE36E7098E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E8781F3" w14:textId="4CFA94E4" w:rsidR="00886B5D" w:rsidRDefault="00886B5D" w:rsidP="00886B5D">
      <w:pPr>
        <w:numPr>
          <w:ilvl w:val="0"/>
          <w:numId w:val="1"/>
        </w:numPr>
        <w:spacing w:after="0" w:line="329" w:lineRule="auto"/>
        <w:ind w:right="3" w:hanging="182"/>
      </w:pPr>
      <w:r w:rsidRPr="00F97B25">
        <w:rPr>
          <w:b/>
          <w:bCs/>
        </w:rPr>
        <w:t>pav.</w:t>
      </w:r>
      <w:r w:rsidR="000C70AD">
        <w:t xml:space="preserve"> </w:t>
      </w:r>
      <w:r w:rsidRPr="00D2554D">
        <w:rPr>
          <w:i/>
          <w:iCs/>
        </w:rPr>
        <w:t>I jaunesniųjų gr</w:t>
      </w:r>
      <w:r w:rsidR="000C70AD" w:rsidRPr="00D2554D">
        <w:rPr>
          <w:i/>
          <w:iCs/>
        </w:rPr>
        <w:t>upių</w:t>
      </w:r>
      <w:r w:rsidRPr="00D2554D">
        <w:rPr>
          <w:i/>
          <w:iCs/>
        </w:rPr>
        <w:t xml:space="preserve"> ugdytinių ugdymo (-si) pasiekimų vertinimas p</w:t>
      </w:r>
      <w:r w:rsidR="000C70AD" w:rsidRPr="00D2554D">
        <w:rPr>
          <w:i/>
          <w:iCs/>
        </w:rPr>
        <w:t>agal</w:t>
      </w:r>
      <w:r w:rsidRPr="00D2554D">
        <w:rPr>
          <w:i/>
          <w:iCs/>
        </w:rPr>
        <w:t xml:space="preserve"> žingsnius (žingsniais).</w:t>
      </w:r>
      <w:r w:rsidRPr="00886B5D">
        <w:t xml:space="preserve">             </w:t>
      </w:r>
    </w:p>
    <w:p w14:paraId="54AA24F8" w14:textId="77777777" w:rsidR="00417EC5" w:rsidRDefault="00417EC5" w:rsidP="00417EC5">
      <w:pPr>
        <w:spacing w:after="0" w:line="329" w:lineRule="auto"/>
        <w:ind w:left="0" w:right="3" w:firstLine="0"/>
      </w:pPr>
    </w:p>
    <w:p w14:paraId="40E388B6" w14:textId="6622808A" w:rsidR="00886B5D" w:rsidRPr="00886B5D" w:rsidRDefault="00886B5D" w:rsidP="00417EC5">
      <w:pPr>
        <w:spacing w:after="0" w:line="329" w:lineRule="auto"/>
        <w:ind w:left="0" w:right="3" w:firstLine="1296"/>
      </w:pPr>
      <w:r w:rsidRPr="00886B5D">
        <w:lastRenderedPageBreak/>
        <w:t>II jaunesniųjų grupių ugdytinių ugdymo (-si) pasiekimų vertinimų vidurkis pasiskirsto</w:t>
      </w:r>
      <w:r w:rsidR="001952DD">
        <w:t>:</w:t>
      </w:r>
      <w:r w:rsidRPr="00886B5D">
        <w:t xml:space="preserve"> „</w:t>
      </w:r>
      <w:r w:rsidR="001952DD">
        <w:t>Lašelių</w:t>
      </w:r>
      <w:r w:rsidR="004B5AB7">
        <w:t xml:space="preserve"> </w:t>
      </w:r>
      <w:r w:rsidR="00FB1BBF">
        <w:t>“ gr. atitinka 3,</w:t>
      </w:r>
      <w:r w:rsidR="006E6BFA">
        <w:t>7</w:t>
      </w:r>
      <w:r w:rsidRPr="00886B5D">
        <w:t xml:space="preserve"> , „</w:t>
      </w:r>
      <w:r w:rsidR="00964901">
        <w:t>Širdukų</w:t>
      </w:r>
      <w:r w:rsidRPr="00886B5D">
        <w:t>“ gr. – 3,</w:t>
      </w:r>
      <w:r w:rsidR="006E6BFA">
        <w:t>9,</w:t>
      </w:r>
      <w:r w:rsidRPr="00886B5D">
        <w:t xml:space="preserve"> </w:t>
      </w:r>
      <w:r w:rsidR="00FB1BBF" w:rsidRPr="00886B5D">
        <w:t>„</w:t>
      </w:r>
      <w:r w:rsidR="00FB1BBF">
        <w:t xml:space="preserve">Voveriukų“ gr. – </w:t>
      </w:r>
      <w:r w:rsidR="006E6BFA">
        <w:t>3,4</w:t>
      </w:r>
      <w:r w:rsidR="00FB1BBF" w:rsidRPr="00886B5D">
        <w:t xml:space="preserve"> </w:t>
      </w:r>
      <w:r w:rsidRPr="00886B5D">
        <w:t>„</w:t>
      </w:r>
      <w:r w:rsidR="001952DD">
        <w:t xml:space="preserve">Varliukų“ – </w:t>
      </w:r>
      <w:r w:rsidR="006E6BFA">
        <w:t>3,4</w:t>
      </w:r>
      <w:r w:rsidRPr="00886B5D">
        <w:t xml:space="preserve"> žingsnio (4 pav.). </w:t>
      </w:r>
    </w:p>
    <w:p w14:paraId="74009644" w14:textId="77777777" w:rsidR="00886B5D" w:rsidRDefault="00886B5D"/>
    <w:p w14:paraId="55919AF9" w14:textId="550520D4" w:rsidR="00886B5D" w:rsidRDefault="00295FC9">
      <w:r>
        <w:rPr>
          <w:noProof/>
        </w:rPr>
        <w:drawing>
          <wp:inline distT="0" distB="0" distL="0" distR="0" wp14:anchorId="4001EC9A" wp14:editId="0EF5A9C1">
            <wp:extent cx="5743575" cy="3119437"/>
            <wp:effectExtent l="0" t="0" r="9525" b="5080"/>
            <wp:docPr id="1449855929" name="Chart 1">
              <a:extLst xmlns:a="http://schemas.openxmlformats.org/drawingml/2006/main">
                <a:ext uri="{FF2B5EF4-FFF2-40B4-BE49-F238E27FC236}">
                  <a16:creationId xmlns:a16="http://schemas.microsoft.com/office/drawing/2014/main" id="{00FB47E4-744A-311B-2D27-AD1D8A5C009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DF32E6E" w14:textId="77777777" w:rsidR="001952DD" w:rsidRPr="001952DD" w:rsidRDefault="001952DD" w:rsidP="001952DD">
      <w:pPr>
        <w:numPr>
          <w:ilvl w:val="0"/>
          <w:numId w:val="1"/>
        </w:numPr>
        <w:spacing w:after="188" w:line="259" w:lineRule="auto"/>
        <w:ind w:right="3" w:hanging="182"/>
      </w:pPr>
      <w:r w:rsidRPr="001952DD">
        <w:t xml:space="preserve">pav. II jaunesniųjų grupių ugdytinių pasiekimų vidurkis pgl. grupes (žingsniais). </w:t>
      </w:r>
    </w:p>
    <w:p w14:paraId="054901FD" w14:textId="12880FE1" w:rsidR="00A82B5A" w:rsidRPr="00417EC5" w:rsidRDefault="00A82B5A" w:rsidP="00417EC5">
      <w:pPr>
        <w:spacing w:after="0" w:line="360" w:lineRule="auto"/>
        <w:ind w:left="22" w:right="0" w:hanging="11"/>
      </w:pPr>
      <w:r w:rsidRPr="00417EC5">
        <w:t xml:space="preserve">              II jaunesniųjų grupių ugdytinių stipriausios ugdymo (-si) sritys (5 pav.): </w:t>
      </w:r>
      <w:r w:rsidR="00417EC5" w:rsidRPr="00A122C7">
        <w:t>fizinis aktyvumas (2), kasdieniai gyvenimo įgūdžiai (1), santykiai su suaugusiaisiais (6), kūrybiškumas (17).</w:t>
      </w:r>
    </w:p>
    <w:p w14:paraId="4ACFFA27" w14:textId="08D5E14A" w:rsidR="00730484" w:rsidRDefault="00A82B5A" w:rsidP="00417EC5">
      <w:pPr>
        <w:spacing w:after="0" w:line="360" w:lineRule="auto"/>
        <w:ind w:left="22" w:right="0" w:hanging="11"/>
      </w:pPr>
      <w:r w:rsidRPr="00417EC5">
        <w:t xml:space="preserve">              Šiek tiek silpniau įvertintos ugdymo (-si) sritys –</w:t>
      </w:r>
      <w:r w:rsidR="006E6BFA" w:rsidRPr="00417EC5">
        <w:t xml:space="preserve"> </w:t>
      </w:r>
      <w:r w:rsidR="00417EC5" w:rsidRPr="00A122C7">
        <w:t>problemų sprendimas (16), skaičiavimas ir matavimas (11), sakytinė kalba (8), savireguliacija ir savikontrolė (4).</w:t>
      </w:r>
    </w:p>
    <w:p w14:paraId="27BC940B" w14:textId="541D0ADC" w:rsidR="001952DD" w:rsidRPr="00A122C7" w:rsidRDefault="00A122C7">
      <w:r>
        <w:rPr>
          <w:noProof/>
        </w:rPr>
        <w:drawing>
          <wp:inline distT="0" distB="0" distL="0" distR="0" wp14:anchorId="79367BED" wp14:editId="22BE290B">
            <wp:extent cx="5246915" cy="3197678"/>
            <wp:effectExtent l="0" t="0" r="11430" b="3175"/>
            <wp:docPr id="320549166" name="Chart 1">
              <a:extLst xmlns:a="http://schemas.openxmlformats.org/drawingml/2006/main">
                <a:ext uri="{FF2B5EF4-FFF2-40B4-BE49-F238E27FC236}">
                  <a16:creationId xmlns:a16="http://schemas.microsoft.com/office/drawing/2014/main" id="{16415361-20EC-87CF-34FE-7FD023912B1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88836BA" w14:textId="1C4DFEED" w:rsidR="00730484" w:rsidRPr="00A122C7" w:rsidRDefault="00730484" w:rsidP="00730484">
      <w:pPr>
        <w:spacing w:after="194"/>
        <w:ind w:left="182" w:right="3" w:firstLine="0"/>
        <w:rPr>
          <w:i/>
          <w:iCs/>
        </w:rPr>
      </w:pPr>
      <w:r w:rsidRPr="00417EC5">
        <w:rPr>
          <w:b/>
          <w:bCs/>
        </w:rPr>
        <w:t>5 pav</w:t>
      </w:r>
      <w:r w:rsidRPr="00730484">
        <w:t xml:space="preserve">. </w:t>
      </w:r>
      <w:r w:rsidRPr="00A122C7">
        <w:rPr>
          <w:i/>
          <w:iCs/>
        </w:rPr>
        <w:t>II jaunesniųjų gr. ugdytinių ugdymo (-si) pasiekimų vertinimas p</w:t>
      </w:r>
      <w:r w:rsidR="00A122C7" w:rsidRPr="00A122C7">
        <w:rPr>
          <w:i/>
          <w:iCs/>
        </w:rPr>
        <w:t>agal</w:t>
      </w:r>
      <w:r w:rsidRPr="00A122C7">
        <w:rPr>
          <w:i/>
          <w:iCs/>
        </w:rPr>
        <w:t xml:space="preserve"> žingsnius </w:t>
      </w:r>
    </w:p>
    <w:p w14:paraId="59B6ED72" w14:textId="6B28B29F" w:rsidR="009F393B" w:rsidRPr="00730484" w:rsidRDefault="00730484" w:rsidP="00CD76CA">
      <w:pPr>
        <w:spacing w:after="0" w:line="360" w:lineRule="auto"/>
        <w:ind w:left="23" w:right="0" w:firstLine="1270"/>
      </w:pPr>
      <w:r w:rsidRPr="00730484">
        <w:lastRenderedPageBreak/>
        <w:t>Atlikus vidurini</w:t>
      </w:r>
      <w:r w:rsidR="00956B32">
        <w:t>ų</w:t>
      </w:r>
      <w:r w:rsidRPr="00730484">
        <w:t>jų grupių ugdytinių ugdymo (-si) pasiekimų vertinimų vidurkio analizę (6 pav.) paaiškėjo, kad  „</w:t>
      </w:r>
      <w:r w:rsidR="003328BD">
        <w:t>Žirniukų</w:t>
      </w:r>
      <w:r w:rsidRPr="00730484">
        <w:t>“ gr. ugdymo (-si)</w:t>
      </w:r>
      <w:r w:rsidR="003328BD">
        <w:t xml:space="preserve"> pasiekimų vidurkis atitinka 4,</w:t>
      </w:r>
      <w:r w:rsidR="006B07AF">
        <w:t>7</w:t>
      </w:r>
      <w:r w:rsidRPr="00730484">
        <w:t>, „</w:t>
      </w:r>
      <w:r w:rsidR="003328BD">
        <w:t xml:space="preserve">Kiškučių“ – </w:t>
      </w:r>
      <w:r w:rsidR="006B07AF">
        <w:t>4,7</w:t>
      </w:r>
      <w:r w:rsidRPr="00730484">
        <w:t>, „</w:t>
      </w:r>
      <w:r w:rsidR="003328BD">
        <w:t>Drugelių</w:t>
      </w:r>
      <w:r w:rsidRPr="00730484">
        <w:t xml:space="preserve">“ – </w:t>
      </w:r>
      <w:r w:rsidR="006B07AF">
        <w:t>4,1</w:t>
      </w:r>
      <w:r w:rsidR="003328BD">
        <w:t xml:space="preserve">, </w:t>
      </w:r>
      <w:r w:rsidRPr="00730484">
        <w:t xml:space="preserve"> „</w:t>
      </w:r>
      <w:r w:rsidR="003328BD">
        <w:t>Saulučių</w:t>
      </w:r>
      <w:r w:rsidRPr="00730484">
        <w:t xml:space="preserve">“ </w:t>
      </w:r>
      <w:r w:rsidR="006B07AF">
        <w:t xml:space="preserve"> 4,8</w:t>
      </w:r>
      <w:r w:rsidR="003328BD">
        <w:t xml:space="preserve"> ir „Ančiukų“</w:t>
      </w:r>
      <w:r w:rsidRPr="00730484">
        <w:t xml:space="preserve">– </w:t>
      </w:r>
      <w:r w:rsidR="006B07AF">
        <w:t>4,4</w:t>
      </w:r>
      <w:r w:rsidRPr="00730484">
        <w:t xml:space="preserve">. </w:t>
      </w:r>
    </w:p>
    <w:p w14:paraId="0B6E6B09" w14:textId="20157DBF" w:rsidR="00730484" w:rsidRPr="00730484" w:rsidRDefault="00417EC5" w:rsidP="00730484">
      <w:pPr>
        <w:spacing w:after="194"/>
        <w:ind w:left="182" w:right="3" w:firstLine="0"/>
      </w:pPr>
      <w:r>
        <w:rPr>
          <w:noProof/>
        </w:rPr>
        <w:drawing>
          <wp:inline distT="0" distB="0" distL="0" distR="0" wp14:anchorId="7385C527" wp14:editId="77F72A4D">
            <wp:extent cx="5010150" cy="2886075"/>
            <wp:effectExtent l="0" t="0" r="0" b="9525"/>
            <wp:docPr id="1795583546" name="Chart 1">
              <a:extLst xmlns:a="http://schemas.openxmlformats.org/drawingml/2006/main">
                <a:ext uri="{FF2B5EF4-FFF2-40B4-BE49-F238E27FC236}">
                  <a16:creationId xmlns:a16="http://schemas.microsoft.com/office/drawing/2014/main" id="{CD16B6EE-D903-1524-A6B4-51B85EE7E44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260CEB73" w14:textId="77777777" w:rsidR="003328BD" w:rsidRPr="003328BD" w:rsidRDefault="003328BD" w:rsidP="003328BD">
      <w:pPr>
        <w:spacing w:after="188" w:line="259" w:lineRule="auto"/>
        <w:ind w:left="182" w:right="3" w:firstLine="0"/>
      </w:pPr>
      <w:r w:rsidRPr="00417EC5">
        <w:rPr>
          <w:b/>
          <w:bCs/>
        </w:rPr>
        <w:t>6 pav.</w:t>
      </w:r>
      <w:r w:rsidRPr="003328BD">
        <w:t xml:space="preserve"> </w:t>
      </w:r>
      <w:r w:rsidRPr="00417EC5">
        <w:rPr>
          <w:i/>
          <w:iCs/>
        </w:rPr>
        <w:t>Viduriniųjų gr. ugdytinių pasiekimų vertinimas pgl. grupes (žingsniais).</w:t>
      </w:r>
      <w:r w:rsidRPr="003328BD">
        <w:t xml:space="preserve"> </w:t>
      </w:r>
    </w:p>
    <w:p w14:paraId="58B15093" w14:textId="6352B962" w:rsidR="003328BD" w:rsidRPr="00182527" w:rsidRDefault="003328BD" w:rsidP="00182527">
      <w:pPr>
        <w:spacing w:after="0" w:line="360" w:lineRule="auto"/>
        <w:ind w:left="22" w:right="0" w:hanging="11"/>
      </w:pPr>
      <w:r w:rsidRPr="00182527">
        <w:t xml:space="preserve">              Viduriniųjų grupių ugdytinių stipriausios ugdymo (-si) sritys (7 pav.): </w:t>
      </w:r>
      <w:r w:rsidR="00182527" w:rsidRPr="00182527">
        <w:t>kasdieniai gyvenimo įgūdžiai (1), meninė raiška (13), fizinis aktyvumas (2), iniciatyvumas ir atkaklumas (14), santykiai su bendraamžiais (7).</w:t>
      </w:r>
    </w:p>
    <w:p w14:paraId="3FBBE1CE" w14:textId="120BA201" w:rsidR="00182527" w:rsidRPr="00182527" w:rsidRDefault="003328BD" w:rsidP="00182527">
      <w:pPr>
        <w:spacing w:after="0" w:line="360" w:lineRule="auto"/>
        <w:ind w:left="22" w:right="0" w:hanging="11"/>
      </w:pPr>
      <w:r w:rsidRPr="00182527">
        <w:t xml:space="preserve">              Silpniau įvertinta ugdymo (-si) sritys – </w:t>
      </w:r>
      <w:r w:rsidR="00182527" w:rsidRPr="00182527">
        <w:t>problemų sprendimas (16), skaičiavimas ir matavimas (11), sakytinė ir rašytinė kalba (8–9).</w:t>
      </w:r>
    </w:p>
    <w:p w14:paraId="256D0147" w14:textId="590C04AA" w:rsidR="003328BD" w:rsidRDefault="003328BD" w:rsidP="003328BD">
      <w:pPr>
        <w:spacing w:after="0"/>
        <w:ind w:left="24" w:right="0"/>
      </w:pPr>
    </w:p>
    <w:p w14:paraId="61D6CD85" w14:textId="5C94DA1E" w:rsidR="00722274" w:rsidRPr="003328BD" w:rsidRDefault="00182527" w:rsidP="00182527">
      <w:pPr>
        <w:spacing w:after="0"/>
        <w:ind w:left="24" w:right="0"/>
      </w:pPr>
      <w:r>
        <w:rPr>
          <w:noProof/>
        </w:rPr>
        <w:drawing>
          <wp:inline distT="0" distB="0" distL="0" distR="0" wp14:anchorId="0AAE0A69" wp14:editId="11DC999B">
            <wp:extent cx="5377543" cy="3067412"/>
            <wp:effectExtent l="0" t="0" r="13970" b="0"/>
            <wp:docPr id="874795993" name="Chart 1">
              <a:extLst xmlns:a="http://schemas.openxmlformats.org/drawingml/2006/main">
                <a:ext uri="{FF2B5EF4-FFF2-40B4-BE49-F238E27FC236}">
                  <a16:creationId xmlns:a16="http://schemas.microsoft.com/office/drawing/2014/main" id="{8239B350-97DC-7D20-D3B6-6FD3498464F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67D42EBA" w14:textId="77777777" w:rsidR="00143BF5" w:rsidRDefault="005C4840" w:rsidP="005C4840">
      <w:pPr>
        <w:spacing w:after="162"/>
        <w:ind w:left="182" w:right="3" w:firstLine="0"/>
        <w:rPr>
          <w:i/>
          <w:iCs/>
        </w:rPr>
      </w:pPr>
      <w:r w:rsidRPr="00417EC5">
        <w:rPr>
          <w:b/>
          <w:bCs/>
        </w:rPr>
        <w:t>7 pav.</w:t>
      </w:r>
      <w:r w:rsidRPr="005C4840">
        <w:t xml:space="preserve"> </w:t>
      </w:r>
      <w:r w:rsidRPr="00417EC5">
        <w:rPr>
          <w:i/>
          <w:iCs/>
        </w:rPr>
        <w:t>Viduriniųjų gr. ugdytinių ugdymo (-si) pasiekimų vertinimas pgl. žingsnius (žingsniais).</w:t>
      </w:r>
    </w:p>
    <w:p w14:paraId="08974129" w14:textId="219DD1F9" w:rsidR="005C4840" w:rsidRPr="005C4840" w:rsidRDefault="00143BF5" w:rsidP="00143BF5">
      <w:pPr>
        <w:spacing w:after="0" w:line="360" w:lineRule="auto"/>
        <w:ind w:left="24" w:right="0"/>
      </w:pPr>
      <w:r w:rsidRPr="0050291B">
        <w:lastRenderedPageBreak/>
        <w:t xml:space="preserve">            Vyresniųjų grupių ugdytinių ugdymo (-si) pasiekimų vertinimų vidurkis pasiskirsto</w:t>
      </w:r>
      <w:r>
        <w:t xml:space="preserve">: </w:t>
      </w:r>
      <w:r w:rsidRPr="0050291B">
        <w:t>„</w:t>
      </w:r>
      <w:r>
        <w:t>Pelėdžiukų“ gr. atitinka 5,7</w:t>
      </w:r>
      <w:r w:rsidRPr="0050291B">
        <w:t>, „</w:t>
      </w:r>
      <w:r>
        <w:t>Bitučių</w:t>
      </w:r>
      <w:r w:rsidRPr="0050291B">
        <w:t xml:space="preserve">“ gr. – </w:t>
      </w:r>
      <w:r>
        <w:t>5,7</w:t>
      </w:r>
      <w:r w:rsidRPr="0050291B">
        <w:t>, „</w:t>
      </w:r>
      <w:r>
        <w:t xml:space="preserve">Boružėlių“ gr. – 5,7 </w:t>
      </w:r>
      <w:r w:rsidRPr="0050291B">
        <w:t>, „</w:t>
      </w:r>
      <w:r>
        <w:t>Meškučių“ – 5,9 žingsnio (8 pav.)</w:t>
      </w:r>
    </w:p>
    <w:p w14:paraId="2DAB6D34" w14:textId="27C9CA01" w:rsidR="00730484" w:rsidRDefault="00143BF5">
      <w:r>
        <w:rPr>
          <w:noProof/>
        </w:rPr>
        <w:drawing>
          <wp:inline distT="0" distB="0" distL="0" distR="0" wp14:anchorId="035760C8" wp14:editId="127445EA">
            <wp:extent cx="5457825" cy="3119120"/>
            <wp:effectExtent l="0" t="0" r="9525" b="5080"/>
            <wp:docPr id="1367097492" name="Chart 1">
              <a:extLst xmlns:a="http://schemas.openxmlformats.org/drawingml/2006/main">
                <a:ext uri="{FF2B5EF4-FFF2-40B4-BE49-F238E27FC236}">
                  <a16:creationId xmlns:a16="http://schemas.microsoft.com/office/drawing/2014/main" id="{C8EF9291-05B7-39C4-86BD-D8DF4801FCE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24893D48" w14:textId="77777777" w:rsidR="0050291B" w:rsidRDefault="0050291B" w:rsidP="0050291B">
      <w:pPr>
        <w:spacing w:after="188" w:line="259" w:lineRule="auto"/>
        <w:ind w:left="182" w:right="3" w:firstLine="0"/>
      </w:pPr>
      <w:r w:rsidRPr="00182527">
        <w:rPr>
          <w:b/>
          <w:bCs/>
        </w:rPr>
        <w:t>8 pav.</w:t>
      </w:r>
      <w:r w:rsidRPr="0050291B">
        <w:t xml:space="preserve"> </w:t>
      </w:r>
      <w:r w:rsidRPr="00182527">
        <w:rPr>
          <w:i/>
          <w:iCs/>
        </w:rPr>
        <w:t>Vyresniųjų grupių ugdytinių pasiekimų vidurkis pgl. grupes (žingsniais).</w:t>
      </w:r>
      <w:r w:rsidRPr="0050291B">
        <w:t xml:space="preserve"> </w:t>
      </w:r>
    </w:p>
    <w:p w14:paraId="7B061B3B" w14:textId="644CFA7E" w:rsidR="00143BF5" w:rsidRPr="0091032A" w:rsidRDefault="00143BF5" w:rsidP="0091032A">
      <w:pPr>
        <w:spacing w:after="0" w:line="360" w:lineRule="auto"/>
        <w:ind w:left="0" w:right="0" w:firstLine="0"/>
      </w:pPr>
      <w:r w:rsidRPr="0091032A">
        <w:t xml:space="preserve">            </w:t>
      </w:r>
      <w:r w:rsidRPr="0091032A">
        <w:tab/>
        <w:t xml:space="preserve">Vyresniųjų grupių ugdytinių </w:t>
      </w:r>
      <w:r w:rsidR="0091032A" w:rsidRPr="0091032A">
        <w:t>fizinis aktyvumas (2), kasdieniai gyvenimo įgūdžiai (1), estetinis suvokimas (13), iniciatyvumas ir atkaklumas (14), santykiai su suaugusiais (6), savivoka ir savigarba (5).</w:t>
      </w:r>
    </w:p>
    <w:p w14:paraId="062BC1DF" w14:textId="15822A48" w:rsidR="00143BF5" w:rsidRPr="0050291B" w:rsidRDefault="00143BF5" w:rsidP="00CD76CA">
      <w:pPr>
        <w:spacing w:after="0" w:line="360" w:lineRule="auto"/>
        <w:ind w:left="24" w:right="0" w:firstLine="1272"/>
      </w:pPr>
      <w:r w:rsidRPr="0091032A">
        <w:t xml:space="preserve">Pagal gautus </w:t>
      </w:r>
      <w:r w:rsidRPr="0091032A">
        <w:tab/>
        <w:t>duomenis, vyresniųjų grupių silpniausiai įvertintos ugdymo(-si) sritys yra:</w:t>
      </w:r>
      <w:r w:rsidR="0091032A" w:rsidRPr="0091032A">
        <w:t xml:space="preserve"> aplinkos pažinimas (10), mokėjimas mokytis (18), rašytinė kalba (9), problemų sprendimas (16). </w:t>
      </w:r>
    </w:p>
    <w:p w14:paraId="7807985A" w14:textId="59C53B57" w:rsidR="00292167" w:rsidRDefault="0091032A" w:rsidP="0050291B">
      <w:pPr>
        <w:ind w:left="24" w:right="0"/>
      </w:pPr>
      <w:r>
        <w:rPr>
          <w:noProof/>
        </w:rPr>
        <w:drawing>
          <wp:inline distT="0" distB="0" distL="0" distR="0" wp14:anchorId="3543D97A" wp14:editId="11EF4D48">
            <wp:extent cx="5638800" cy="2920365"/>
            <wp:effectExtent l="0" t="0" r="0" b="13335"/>
            <wp:docPr id="564669887" name="Chart 1">
              <a:extLst xmlns:a="http://schemas.openxmlformats.org/drawingml/2006/main">
                <a:ext uri="{FF2B5EF4-FFF2-40B4-BE49-F238E27FC236}">
                  <a16:creationId xmlns:a16="http://schemas.microsoft.com/office/drawing/2014/main" id="{4C9DF4BD-60D8-A54E-12ED-F8186F2A873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66CA709" w14:textId="77777777" w:rsidR="00225D7A" w:rsidRPr="00143BF5" w:rsidRDefault="00225D7A" w:rsidP="00225D7A">
      <w:pPr>
        <w:spacing w:after="183"/>
        <w:ind w:left="182" w:right="3" w:firstLine="0"/>
        <w:rPr>
          <w:i/>
          <w:iCs/>
        </w:rPr>
      </w:pPr>
      <w:r w:rsidRPr="00143BF5">
        <w:rPr>
          <w:b/>
          <w:bCs/>
        </w:rPr>
        <w:t>9 pav.</w:t>
      </w:r>
      <w:r w:rsidRPr="00225D7A">
        <w:t xml:space="preserve"> </w:t>
      </w:r>
      <w:r w:rsidRPr="00143BF5">
        <w:rPr>
          <w:i/>
          <w:iCs/>
        </w:rPr>
        <w:t xml:space="preserve">Vyresniųjų gr. ugdytinių ugdymo (-si) pasiekimų vertinimas pgl. žingsnius (žingsniais). </w:t>
      </w:r>
    </w:p>
    <w:p w14:paraId="2150E54E" w14:textId="0A063F26" w:rsidR="00225D7A" w:rsidRPr="00225D7A" w:rsidRDefault="00225D7A" w:rsidP="00EB139C">
      <w:pPr>
        <w:ind w:left="24" w:right="0"/>
      </w:pPr>
    </w:p>
    <w:p w14:paraId="4F99525C" w14:textId="280C4562" w:rsidR="00225D7A" w:rsidRPr="00225D7A" w:rsidRDefault="00225D7A" w:rsidP="00225D7A">
      <w:pPr>
        <w:spacing w:after="161" w:line="259" w:lineRule="auto"/>
        <w:ind w:left="0" w:right="0" w:firstLine="0"/>
        <w:jc w:val="left"/>
      </w:pPr>
    </w:p>
    <w:p w14:paraId="177DBFE4" w14:textId="77777777" w:rsidR="009F393B" w:rsidRDefault="009F393B" w:rsidP="009F393B">
      <w:pPr>
        <w:ind w:right="0"/>
      </w:pPr>
      <w:r>
        <w:t xml:space="preserve">Informaciją pateikė </w:t>
      </w:r>
    </w:p>
    <w:p w14:paraId="47F9859D" w14:textId="3F360C2C" w:rsidR="009F393B" w:rsidRDefault="00EB139C" w:rsidP="009F393B">
      <w:pPr>
        <w:ind w:right="0"/>
      </w:pPr>
      <w:r>
        <w:t xml:space="preserve">Šilalės lopšelio-darželio „Žiogelis“ </w:t>
      </w:r>
    </w:p>
    <w:p w14:paraId="4A87AAFB" w14:textId="0E0E62B4" w:rsidR="00EB139C" w:rsidRDefault="00EB139C" w:rsidP="00EB139C">
      <w:pPr>
        <w:ind w:right="0"/>
      </w:pPr>
      <w:r>
        <w:t>direktoriaus pavaduot</w:t>
      </w:r>
      <w:r w:rsidR="009F393B">
        <w:t>a ugdymui</w:t>
      </w:r>
    </w:p>
    <w:p w14:paraId="51B73BF2" w14:textId="30C459C1" w:rsidR="00EB139C" w:rsidRPr="00EB139C" w:rsidRDefault="009F393B" w:rsidP="00EB139C">
      <w:pPr>
        <w:spacing w:after="1"/>
        <w:ind w:left="24" w:right="0"/>
      </w:pPr>
      <w:r>
        <w:t>Orinta Merkelienė</w:t>
      </w:r>
    </w:p>
    <w:p w14:paraId="7D8387CE" w14:textId="6DAE93ED" w:rsidR="00EB139C" w:rsidRPr="00EB139C" w:rsidRDefault="00EB139C" w:rsidP="00EB139C">
      <w:pPr>
        <w:ind w:left="24" w:right="0"/>
      </w:pPr>
      <w:r>
        <w:t>2025-0</w:t>
      </w:r>
      <w:r w:rsidR="00B40773">
        <w:t>5-30</w:t>
      </w:r>
    </w:p>
    <w:p w14:paraId="39FDE252" w14:textId="77777777" w:rsidR="00225D7A" w:rsidRDefault="00225D7A" w:rsidP="0050291B">
      <w:pPr>
        <w:ind w:left="24" w:right="0"/>
      </w:pPr>
    </w:p>
    <w:sectPr w:rsidR="00225D7A">
      <w:pgSz w:w="11906" w:h="16838"/>
      <w:pgMar w:top="1701"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526651" w14:textId="77777777" w:rsidR="00381E76" w:rsidRDefault="00381E76" w:rsidP="00417EC5">
      <w:pPr>
        <w:spacing w:after="0" w:line="240" w:lineRule="auto"/>
      </w:pPr>
      <w:r>
        <w:separator/>
      </w:r>
    </w:p>
  </w:endnote>
  <w:endnote w:type="continuationSeparator" w:id="0">
    <w:p w14:paraId="75BE3E95" w14:textId="77777777" w:rsidR="00381E76" w:rsidRDefault="00381E76" w:rsidP="00417E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DB743C" w14:textId="77777777" w:rsidR="00381E76" w:rsidRDefault="00381E76" w:rsidP="00417EC5">
      <w:pPr>
        <w:spacing w:after="0" w:line="240" w:lineRule="auto"/>
      </w:pPr>
      <w:r>
        <w:separator/>
      </w:r>
    </w:p>
  </w:footnote>
  <w:footnote w:type="continuationSeparator" w:id="0">
    <w:p w14:paraId="654C3E3C" w14:textId="77777777" w:rsidR="00381E76" w:rsidRDefault="00381E76" w:rsidP="00417EC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C91986"/>
    <w:multiLevelType w:val="hybridMultilevel"/>
    <w:tmpl w:val="B09491A2"/>
    <w:lvl w:ilvl="0" w:tplc="70223366">
      <w:start w:val="3"/>
      <w:numFmt w:val="decimal"/>
      <w:lvlText w:val="%1"/>
      <w:lvlJc w:val="left"/>
      <w:pPr>
        <w:ind w:left="1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DA0C3EE">
      <w:start w:val="1"/>
      <w:numFmt w:val="lowerLetter"/>
      <w:lvlText w:val="%2"/>
      <w:lvlJc w:val="left"/>
      <w:pPr>
        <w:ind w:left="18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C700EB2">
      <w:start w:val="1"/>
      <w:numFmt w:val="lowerRoman"/>
      <w:lvlText w:val="%3"/>
      <w:lvlJc w:val="left"/>
      <w:pPr>
        <w:ind w:left="25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42640AA">
      <w:start w:val="1"/>
      <w:numFmt w:val="decimal"/>
      <w:lvlText w:val="%4"/>
      <w:lvlJc w:val="left"/>
      <w:pPr>
        <w:ind w:left="32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584F7CA">
      <w:start w:val="1"/>
      <w:numFmt w:val="lowerLetter"/>
      <w:lvlText w:val="%5"/>
      <w:lvlJc w:val="left"/>
      <w:pPr>
        <w:ind w:left="3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BC4EFB4">
      <w:start w:val="1"/>
      <w:numFmt w:val="lowerRoman"/>
      <w:lvlText w:val="%6"/>
      <w:lvlJc w:val="left"/>
      <w:pPr>
        <w:ind w:left="47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38CA71E">
      <w:start w:val="1"/>
      <w:numFmt w:val="decimal"/>
      <w:lvlText w:val="%7"/>
      <w:lvlJc w:val="left"/>
      <w:pPr>
        <w:ind w:left="54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A043668">
      <w:start w:val="1"/>
      <w:numFmt w:val="lowerLetter"/>
      <w:lvlText w:val="%8"/>
      <w:lvlJc w:val="left"/>
      <w:pPr>
        <w:ind w:left="61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61C6434">
      <w:start w:val="1"/>
      <w:numFmt w:val="lowerRoman"/>
      <w:lvlText w:val="%9"/>
      <w:lvlJc w:val="left"/>
      <w:pPr>
        <w:ind w:left="68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BA811F7"/>
    <w:multiLevelType w:val="hybridMultilevel"/>
    <w:tmpl w:val="E1C0296A"/>
    <w:lvl w:ilvl="0" w:tplc="56265DFA">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4586A22">
      <w:start w:val="1"/>
      <w:numFmt w:val="decimal"/>
      <w:lvlRestart w:val="0"/>
      <w:lvlText w:val="%2"/>
      <w:lvlJc w:val="left"/>
      <w:pPr>
        <w:ind w:left="1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202603A">
      <w:start w:val="1"/>
      <w:numFmt w:val="lowerRoman"/>
      <w:lvlText w:val="%3"/>
      <w:lvlJc w:val="left"/>
      <w:pPr>
        <w:ind w:left="20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9E480D8">
      <w:start w:val="1"/>
      <w:numFmt w:val="decimal"/>
      <w:lvlText w:val="%4"/>
      <w:lvlJc w:val="left"/>
      <w:pPr>
        <w:ind w:left="28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09857C0">
      <w:start w:val="1"/>
      <w:numFmt w:val="lowerLetter"/>
      <w:lvlText w:val="%5"/>
      <w:lvlJc w:val="left"/>
      <w:pPr>
        <w:ind w:left="35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7D83490">
      <w:start w:val="1"/>
      <w:numFmt w:val="lowerRoman"/>
      <w:lvlText w:val="%6"/>
      <w:lvlJc w:val="left"/>
      <w:pPr>
        <w:ind w:left="42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D04324C">
      <w:start w:val="1"/>
      <w:numFmt w:val="decimal"/>
      <w:lvlText w:val="%7"/>
      <w:lvlJc w:val="left"/>
      <w:pPr>
        <w:ind w:left="49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488EEB8">
      <w:start w:val="1"/>
      <w:numFmt w:val="lowerLetter"/>
      <w:lvlText w:val="%8"/>
      <w:lvlJc w:val="left"/>
      <w:pPr>
        <w:ind w:left="56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5E43D16">
      <w:start w:val="1"/>
      <w:numFmt w:val="lowerRoman"/>
      <w:lvlText w:val="%9"/>
      <w:lvlJc w:val="left"/>
      <w:pPr>
        <w:ind w:left="64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E5625A0"/>
    <w:multiLevelType w:val="hybridMultilevel"/>
    <w:tmpl w:val="50B0D650"/>
    <w:lvl w:ilvl="0" w:tplc="504A909A">
      <w:start w:val="3"/>
      <w:numFmt w:val="decimal"/>
      <w:lvlText w:val="%1"/>
      <w:lvlJc w:val="left"/>
      <w:pPr>
        <w:ind w:left="18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7C90FD7C">
      <w:start w:val="1"/>
      <w:numFmt w:val="lowerLetter"/>
      <w:lvlText w:val="%2"/>
      <w:lvlJc w:val="left"/>
      <w:pPr>
        <w:ind w:left="18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3AC39AA">
      <w:start w:val="1"/>
      <w:numFmt w:val="lowerRoman"/>
      <w:lvlText w:val="%3"/>
      <w:lvlJc w:val="left"/>
      <w:pPr>
        <w:ind w:left="25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FBA5F96">
      <w:start w:val="1"/>
      <w:numFmt w:val="decimal"/>
      <w:lvlText w:val="%4"/>
      <w:lvlJc w:val="left"/>
      <w:pPr>
        <w:ind w:left="32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D78F14C">
      <w:start w:val="1"/>
      <w:numFmt w:val="lowerLetter"/>
      <w:lvlText w:val="%5"/>
      <w:lvlJc w:val="left"/>
      <w:pPr>
        <w:ind w:left="3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8E2E576">
      <w:start w:val="1"/>
      <w:numFmt w:val="lowerRoman"/>
      <w:lvlText w:val="%6"/>
      <w:lvlJc w:val="left"/>
      <w:pPr>
        <w:ind w:left="47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D5C7A4C">
      <w:start w:val="1"/>
      <w:numFmt w:val="decimal"/>
      <w:lvlText w:val="%7"/>
      <w:lvlJc w:val="left"/>
      <w:pPr>
        <w:ind w:left="54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CC01DD6">
      <w:start w:val="1"/>
      <w:numFmt w:val="lowerLetter"/>
      <w:lvlText w:val="%8"/>
      <w:lvlJc w:val="left"/>
      <w:pPr>
        <w:ind w:left="61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B70EC22">
      <w:start w:val="1"/>
      <w:numFmt w:val="lowerRoman"/>
      <w:lvlText w:val="%9"/>
      <w:lvlJc w:val="left"/>
      <w:pPr>
        <w:ind w:left="68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44664F4B"/>
    <w:multiLevelType w:val="multilevel"/>
    <w:tmpl w:val="49EC63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D4668CC"/>
    <w:multiLevelType w:val="multilevel"/>
    <w:tmpl w:val="68D67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02F5"/>
    <w:rsid w:val="0000131C"/>
    <w:rsid w:val="00002740"/>
    <w:rsid w:val="00017FD6"/>
    <w:rsid w:val="00075B3D"/>
    <w:rsid w:val="000C70AD"/>
    <w:rsid w:val="000F46C5"/>
    <w:rsid w:val="00143BF5"/>
    <w:rsid w:val="00182527"/>
    <w:rsid w:val="001952DD"/>
    <w:rsid w:val="001B7420"/>
    <w:rsid w:val="00225D7A"/>
    <w:rsid w:val="0024228F"/>
    <w:rsid w:val="002716D3"/>
    <w:rsid w:val="00292167"/>
    <w:rsid w:val="00295FC9"/>
    <w:rsid w:val="002D4B25"/>
    <w:rsid w:val="003328BD"/>
    <w:rsid w:val="00371AB6"/>
    <w:rsid w:val="00381E76"/>
    <w:rsid w:val="00383694"/>
    <w:rsid w:val="0038756B"/>
    <w:rsid w:val="003B1124"/>
    <w:rsid w:val="003D2D08"/>
    <w:rsid w:val="004019B7"/>
    <w:rsid w:val="00417EC5"/>
    <w:rsid w:val="00473366"/>
    <w:rsid w:val="004B5AB7"/>
    <w:rsid w:val="004D2D43"/>
    <w:rsid w:val="004D78B2"/>
    <w:rsid w:val="0050291B"/>
    <w:rsid w:val="00503F39"/>
    <w:rsid w:val="00524D83"/>
    <w:rsid w:val="00564F91"/>
    <w:rsid w:val="005B02F5"/>
    <w:rsid w:val="005C4840"/>
    <w:rsid w:val="006242D9"/>
    <w:rsid w:val="006A60FB"/>
    <w:rsid w:val="006B07AF"/>
    <w:rsid w:val="006B1D2E"/>
    <w:rsid w:val="006E6BFA"/>
    <w:rsid w:val="00722274"/>
    <w:rsid w:val="00730484"/>
    <w:rsid w:val="00797BFC"/>
    <w:rsid w:val="007E41EB"/>
    <w:rsid w:val="00857A43"/>
    <w:rsid w:val="00886B5D"/>
    <w:rsid w:val="008C5114"/>
    <w:rsid w:val="0091032A"/>
    <w:rsid w:val="00956B32"/>
    <w:rsid w:val="0096318D"/>
    <w:rsid w:val="00964901"/>
    <w:rsid w:val="009E012F"/>
    <w:rsid w:val="009F393B"/>
    <w:rsid w:val="009F7EB8"/>
    <w:rsid w:val="00A122C7"/>
    <w:rsid w:val="00A82B5A"/>
    <w:rsid w:val="00AC39CC"/>
    <w:rsid w:val="00B40773"/>
    <w:rsid w:val="00B4747D"/>
    <w:rsid w:val="00BD277C"/>
    <w:rsid w:val="00BD4883"/>
    <w:rsid w:val="00C24E95"/>
    <w:rsid w:val="00C34B5C"/>
    <w:rsid w:val="00CA06D1"/>
    <w:rsid w:val="00CD76CA"/>
    <w:rsid w:val="00D2554D"/>
    <w:rsid w:val="00D5184C"/>
    <w:rsid w:val="00D7436B"/>
    <w:rsid w:val="00D91CB4"/>
    <w:rsid w:val="00E62403"/>
    <w:rsid w:val="00EA2860"/>
    <w:rsid w:val="00EB139C"/>
    <w:rsid w:val="00EC7062"/>
    <w:rsid w:val="00EE6681"/>
    <w:rsid w:val="00F2604D"/>
    <w:rsid w:val="00F545E1"/>
    <w:rsid w:val="00F60FC4"/>
    <w:rsid w:val="00F67628"/>
    <w:rsid w:val="00F96E1A"/>
    <w:rsid w:val="00F97B25"/>
    <w:rsid w:val="00FB1BBF"/>
    <w:rsid w:val="00FF753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8C173"/>
  <w15:chartTrackingRefBased/>
  <w15:docId w15:val="{F574063D-D0CF-4463-AB1B-3E1977BDA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B02F5"/>
    <w:pPr>
      <w:spacing w:after="35" w:line="258" w:lineRule="auto"/>
      <w:ind w:left="10" w:right="7" w:hanging="10"/>
      <w:jc w:val="both"/>
    </w:pPr>
    <w:rPr>
      <w:rFonts w:ascii="Times New Roman" w:eastAsia="Times New Roman" w:hAnsi="Times New Roman" w:cs="Times New Roman"/>
      <w:color w:val="000000"/>
      <w:sz w:val="24"/>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Komentaronuoroda">
    <w:name w:val="annotation reference"/>
    <w:basedOn w:val="Numatytasispastraiposriftas"/>
    <w:uiPriority w:val="99"/>
    <w:semiHidden/>
    <w:unhideWhenUsed/>
    <w:rsid w:val="003328BD"/>
    <w:rPr>
      <w:sz w:val="16"/>
      <w:szCs w:val="16"/>
    </w:rPr>
  </w:style>
  <w:style w:type="paragraph" w:styleId="Komentarotekstas">
    <w:name w:val="annotation text"/>
    <w:basedOn w:val="prastasis"/>
    <w:link w:val="KomentarotekstasDiagrama"/>
    <w:uiPriority w:val="99"/>
    <w:semiHidden/>
    <w:unhideWhenUsed/>
    <w:rsid w:val="003328BD"/>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3328BD"/>
    <w:rPr>
      <w:rFonts w:ascii="Times New Roman" w:eastAsia="Times New Roman" w:hAnsi="Times New Roman" w:cs="Times New Roman"/>
      <w:color w:val="000000"/>
      <w:sz w:val="20"/>
      <w:szCs w:val="20"/>
      <w:lang w:eastAsia="lt-LT"/>
    </w:rPr>
  </w:style>
  <w:style w:type="paragraph" w:styleId="Komentarotema">
    <w:name w:val="annotation subject"/>
    <w:basedOn w:val="Komentarotekstas"/>
    <w:next w:val="Komentarotekstas"/>
    <w:link w:val="KomentarotemaDiagrama"/>
    <w:uiPriority w:val="99"/>
    <w:semiHidden/>
    <w:unhideWhenUsed/>
    <w:rsid w:val="003328BD"/>
    <w:rPr>
      <w:b/>
      <w:bCs/>
    </w:rPr>
  </w:style>
  <w:style w:type="character" w:customStyle="1" w:styleId="KomentarotemaDiagrama">
    <w:name w:val="Komentaro tema Diagrama"/>
    <w:basedOn w:val="KomentarotekstasDiagrama"/>
    <w:link w:val="Komentarotema"/>
    <w:uiPriority w:val="99"/>
    <w:semiHidden/>
    <w:rsid w:val="003328BD"/>
    <w:rPr>
      <w:rFonts w:ascii="Times New Roman" w:eastAsia="Times New Roman" w:hAnsi="Times New Roman" w:cs="Times New Roman"/>
      <w:b/>
      <w:bCs/>
      <w:color w:val="000000"/>
      <w:sz w:val="20"/>
      <w:szCs w:val="20"/>
      <w:lang w:eastAsia="lt-LT"/>
    </w:rPr>
  </w:style>
  <w:style w:type="paragraph" w:styleId="Debesliotekstas">
    <w:name w:val="Balloon Text"/>
    <w:basedOn w:val="prastasis"/>
    <w:link w:val="DebesliotekstasDiagrama"/>
    <w:uiPriority w:val="99"/>
    <w:semiHidden/>
    <w:unhideWhenUsed/>
    <w:rsid w:val="003328BD"/>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3328BD"/>
    <w:rPr>
      <w:rFonts w:ascii="Segoe UI" w:eastAsia="Times New Roman" w:hAnsi="Segoe UI" w:cs="Segoe UI"/>
      <w:color w:val="000000"/>
      <w:sz w:val="18"/>
      <w:szCs w:val="18"/>
      <w:lang w:eastAsia="lt-LT"/>
    </w:rPr>
  </w:style>
  <w:style w:type="paragraph" w:styleId="Antrats">
    <w:name w:val="header"/>
    <w:basedOn w:val="prastasis"/>
    <w:link w:val="AntratsDiagrama"/>
    <w:uiPriority w:val="99"/>
    <w:unhideWhenUsed/>
    <w:rsid w:val="00417EC5"/>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417EC5"/>
    <w:rPr>
      <w:rFonts w:ascii="Times New Roman" w:eastAsia="Times New Roman" w:hAnsi="Times New Roman" w:cs="Times New Roman"/>
      <w:color w:val="000000"/>
      <w:sz w:val="24"/>
      <w:lang w:eastAsia="lt-LT"/>
    </w:rPr>
  </w:style>
  <w:style w:type="paragraph" w:styleId="Porat">
    <w:name w:val="footer"/>
    <w:basedOn w:val="prastasis"/>
    <w:link w:val="PoratDiagrama"/>
    <w:uiPriority w:val="99"/>
    <w:unhideWhenUsed/>
    <w:rsid w:val="00417EC5"/>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417EC5"/>
    <w:rPr>
      <w:rFonts w:ascii="Times New Roman" w:eastAsia="Times New Roman" w:hAnsi="Times New Roman" w:cs="Times New Roman"/>
      <w:color w:val="000000"/>
      <w:sz w:val="24"/>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73311">
      <w:bodyDiv w:val="1"/>
      <w:marLeft w:val="0"/>
      <w:marRight w:val="0"/>
      <w:marTop w:val="0"/>
      <w:marBottom w:val="0"/>
      <w:divBdr>
        <w:top w:val="none" w:sz="0" w:space="0" w:color="auto"/>
        <w:left w:val="none" w:sz="0" w:space="0" w:color="auto"/>
        <w:bottom w:val="none" w:sz="0" w:space="0" w:color="auto"/>
        <w:right w:val="none" w:sz="0" w:space="0" w:color="auto"/>
      </w:divBdr>
    </w:div>
    <w:div w:id="78060984">
      <w:bodyDiv w:val="1"/>
      <w:marLeft w:val="0"/>
      <w:marRight w:val="0"/>
      <w:marTop w:val="0"/>
      <w:marBottom w:val="0"/>
      <w:divBdr>
        <w:top w:val="none" w:sz="0" w:space="0" w:color="auto"/>
        <w:left w:val="none" w:sz="0" w:space="0" w:color="auto"/>
        <w:bottom w:val="none" w:sz="0" w:space="0" w:color="auto"/>
        <w:right w:val="none" w:sz="0" w:space="0" w:color="auto"/>
      </w:divBdr>
    </w:div>
    <w:div w:id="215896093">
      <w:bodyDiv w:val="1"/>
      <w:marLeft w:val="0"/>
      <w:marRight w:val="0"/>
      <w:marTop w:val="0"/>
      <w:marBottom w:val="0"/>
      <w:divBdr>
        <w:top w:val="none" w:sz="0" w:space="0" w:color="auto"/>
        <w:left w:val="none" w:sz="0" w:space="0" w:color="auto"/>
        <w:bottom w:val="none" w:sz="0" w:space="0" w:color="auto"/>
        <w:right w:val="none" w:sz="0" w:space="0" w:color="auto"/>
      </w:divBdr>
    </w:div>
    <w:div w:id="233904019">
      <w:bodyDiv w:val="1"/>
      <w:marLeft w:val="0"/>
      <w:marRight w:val="0"/>
      <w:marTop w:val="0"/>
      <w:marBottom w:val="0"/>
      <w:divBdr>
        <w:top w:val="none" w:sz="0" w:space="0" w:color="auto"/>
        <w:left w:val="none" w:sz="0" w:space="0" w:color="auto"/>
        <w:bottom w:val="none" w:sz="0" w:space="0" w:color="auto"/>
        <w:right w:val="none" w:sz="0" w:space="0" w:color="auto"/>
      </w:divBdr>
    </w:div>
    <w:div w:id="256060185">
      <w:bodyDiv w:val="1"/>
      <w:marLeft w:val="0"/>
      <w:marRight w:val="0"/>
      <w:marTop w:val="0"/>
      <w:marBottom w:val="0"/>
      <w:divBdr>
        <w:top w:val="none" w:sz="0" w:space="0" w:color="auto"/>
        <w:left w:val="none" w:sz="0" w:space="0" w:color="auto"/>
        <w:bottom w:val="none" w:sz="0" w:space="0" w:color="auto"/>
        <w:right w:val="none" w:sz="0" w:space="0" w:color="auto"/>
      </w:divBdr>
    </w:div>
    <w:div w:id="302927022">
      <w:bodyDiv w:val="1"/>
      <w:marLeft w:val="0"/>
      <w:marRight w:val="0"/>
      <w:marTop w:val="0"/>
      <w:marBottom w:val="0"/>
      <w:divBdr>
        <w:top w:val="none" w:sz="0" w:space="0" w:color="auto"/>
        <w:left w:val="none" w:sz="0" w:space="0" w:color="auto"/>
        <w:bottom w:val="none" w:sz="0" w:space="0" w:color="auto"/>
        <w:right w:val="none" w:sz="0" w:space="0" w:color="auto"/>
      </w:divBdr>
    </w:div>
    <w:div w:id="417482390">
      <w:bodyDiv w:val="1"/>
      <w:marLeft w:val="0"/>
      <w:marRight w:val="0"/>
      <w:marTop w:val="0"/>
      <w:marBottom w:val="0"/>
      <w:divBdr>
        <w:top w:val="none" w:sz="0" w:space="0" w:color="auto"/>
        <w:left w:val="none" w:sz="0" w:space="0" w:color="auto"/>
        <w:bottom w:val="none" w:sz="0" w:space="0" w:color="auto"/>
        <w:right w:val="none" w:sz="0" w:space="0" w:color="auto"/>
      </w:divBdr>
    </w:div>
    <w:div w:id="428745702">
      <w:bodyDiv w:val="1"/>
      <w:marLeft w:val="0"/>
      <w:marRight w:val="0"/>
      <w:marTop w:val="0"/>
      <w:marBottom w:val="0"/>
      <w:divBdr>
        <w:top w:val="none" w:sz="0" w:space="0" w:color="auto"/>
        <w:left w:val="none" w:sz="0" w:space="0" w:color="auto"/>
        <w:bottom w:val="none" w:sz="0" w:space="0" w:color="auto"/>
        <w:right w:val="none" w:sz="0" w:space="0" w:color="auto"/>
      </w:divBdr>
    </w:div>
    <w:div w:id="576286419">
      <w:bodyDiv w:val="1"/>
      <w:marLeft w:val="0"/>
      <w:marRight w:val="0"/>
      <w:marTop w:val="0"/>
      <w:marBottom w:val="0"/>
      <w:divBdr>
        <w:top w:val="none" w:sz="0" w:space="0" w:color="auto"/>
        <w:left w:val="none" w:sz="0" w:space="0" w:color="auto"/>
        <w:bottom w:val="none" w:sz="0" w:space="0" w:color="auto"/>
        <w:right w:val="none" w:sz="0" w:space="0" w:color="auto"/>
      </w:divBdr>
    </w:div>
    <w:div w:id="666203608">
      <w:bodyDiv w:val="1"/>
      <w:marLeft w:val="0"/>
      <w:marRight w:val="0"/>
      <w:marTop w:val="0"/>
      <w:marBottom w:val="0"/>
      <w:divBdr>
        <w:top w:val="none" w:sz="0" w:space="0" w:color="auto"/>
        <w:left w:val="none" w:sz="0" w:space="0" w:color="auto"/>
        <w:bottom w:val="none" w:sz="0" w:space="0" w:color="auto"/>
        <w:right w:val="none" w:sz="0" w:space="0" w:color="auto"/>
      </w:divBdr>
    </w:div>
    <w:div w:id="736130015">
      <w:bodyDiv w:val="1"/>
      <w:marLeft w:val="0"/>
      <w:marRight w:val="0"/>
      <w:marTop w:val="0"/>
      <w:marBottom w:val="0"/>
      <w:divBdr>
        <w:top w:val="none" w:sz="0" w:space="0" w:color="auto"/>
        <w:left w:val="none" w:sz="0" w:space="0" w:color="auto"/>
        <w:bottom w:val="none" w:sz="0" w:space="0" w:color="auto"/>
        <w:right w:val="none" w:sz="0" w:space="0" w:color="auto"/>
      </w:divBdr>
    </w:div>
    <w:div w:id="1007248829">
      <w:bodyDiv w:val="1"/>
      <w:marLeft w:val="0"/>
      <w:marRight w:val="0"/>
      <w:marTop w:val="0"/>
      <w:marBottom w:val="0"/>
      <w:divBdr>
        <w:top w:val="none" w:sz="0" w:space="0" w:color="auto"/>
        <w:left w:val="none" w:sz="0" w:space="0" w:color="auto"/>
        <w:bottom w:val="none" w:sz="0" w:space="0" w:color="auto"/>
        <w:right w:val="none" w:sz="0" w:space="0" w:color="auto"/>
      </w:divBdr>
    </w:div>
    <w:div w:id="1351487513">
      <w:bodyDiv w:val="1"/>
      <w:marLeft w:val="0"/>
      <w:marRight w:val="0"/>
      <w:marTop w:val="0"/>
      <w:marBottom w:val="0"/>
      <w:divBdr>
        <w:top w:val="none" w:sz="0" w:space="0" w:color="auto"/>
        <w:left w:val="none" w:sz="0" w:space="0" w:color="auto"/>
        <w:bottom w:val="none" w:sz="0" w:space="0" w:color="auto"/>
        <w:right w:val="none" w:sz="0" w:space="0" w:color="auto"/>
      </w:divBdr>
    </w:div>
    <w:div w:id="1458262209">
      <w:bodyDiv w:val="1"/>
      <w:marLeft w:val="0"/>
      <w:marRight w:val="0"/>
      <w:marTop w:val="0"/>
      <w:marBottom w:val="0"/>
      <w:divBdr>
        <w:top w:val="none" w:sz="0" w:space="0" w:color="auto"/>
        <w:left w:val="none" w:sz="0" w:space="0" w:color="auto"/>
        <w:bottom w:val="none" w:sz="0" w:space="0" w:color="auto"/>
        <w:right w:val="none" w:sz="0" w:space="0" w:color="auto"/>
      </w:divBdr>
    </w:div>
    <w:div w:id="1680229090">
      <w:bodyDiv w:val="1"/>
      <w:marLeft w:val="0"/>
      <w:marRight w:val="0"/>
      <w:marTop w:val="0"/>
      <w:marBottom w:val="0"/>
      <w:divBdr>
        <w:top w:val="none" w:sz="0" w:space="0" w:color="auto"/>
        <w:left w:val="none" w:sz="0" w:space="0" w:color="auto"/>
        <w:bottom w:val="none" w:sz="0" w:space="0" w:color="auto"/>
        <w:right w:val="none" w:sz="0" w:space="0" w:color="auto"/>
      </w:divBdr>
    </w:div>
    <w:div w:id="1735856983">
      <w:bodyDiv w:val="1"/>
      <w:marLeft w:val="0"/>
      <w:marRight w:val="0"/>
      <w:marTop w:val="0"/>
      <w:marBottom w:val="0"/>
      <w:divBdr>
        <w:top w:val="none" w:sz="0" w:space="0" w:color="auto"/>
        <w:left w:val="none" w:sz="0" w:space="0" w:color="auto"/>
        <w:bottom w:val="none" w:sz="0" w:space="0" w:color="auto"/>
        <w:right w:val="none" w:sz="0" w:space="0" w:color="auto"/>
      </w:divBdr>
    </w:div>
    <w:div w:id="1775320584">
      <w:bodyDiv w:val="1"/>
      <w:marLeft w:val="0"/>
      <w:marRight w:val="0"/>
      <w:marTop w:val="0"/>
      <w:marBottom w:val="0"/>
      <w:divBdr>
        <w:top w:val="none" w:sz="0" w:space="0" w:color="auto"/>
        <w:left w:val="none" w:sz="0" w:space="0" w:color="auto"/>
        <w:bottom w:val="none" w:sz="0" w:space="0" w:color="auto"/>
        <w:right w:val="none" w:sz="0" w:space="0" w:color="auto"/>
      </w:divBdr>
    </w:div>
    <w:div w:id="1790317512">
      <w:bodyDiv w:val="1"/>
      <w:marLeft w:val="0"/>
      <w:marRight w:val="0"/>
      <w:marTop w:val="0"/>
      <w:marBottom w:val="0"/>
      <w:divBdr>
        <w:top w:val="none" w:sz="0" w:space="0" w:color="auto"/>
        <w:left w:val="none" w:sz="0" w:space="0" w:color="auto"/>
        <w:bottom w:val="none" w:sz="0" w:space="0" w:color="auto"/>
        <w:right w:val="none" w:sz="0" w:space="0" w:color="auto"/>
      </w:divBdr>
    </w:div>
    <w:div w:id="1933662909">
      <w:bodyDiv w:val="1"/>
      <w:marLeft w:val="0"/>
      <w:marRight w:val="0"/>
      <w:marTop w:val="0"/>
      <w:marBottom w:val="0"/>
      <w:divBdr>
        <w:top w:val="none" w:sz="0" w:space="0" w:color="auto"/>
        <w:left w:val="none" w:sz="0" w:space="0" w:color="auto"/>
        <w:bottom w:val="none" w:sz="0" w:space="0" w:color="auto"/>
        <w:right w:val="none" w:sz="0" w:space="0" w:color="auto"/>
      </w:divBdr>
    </w:div>
    <w:div w:id="2023243229">
      <w:bodyDiv w:val="1"/>
      <w:marLeft w:val="0"/>
      <w:marRight w:val="0"/>
      <w:marTop w:val="0"/>
      <w:marBottom w:val="0"/>
      <w:divBdr>
        <w:top w:val="none" w:sz="0" w:space="0" w:color="auto"/>
        <w:left w:val="none" w:sz="0" w:space="0" w:color="auto"/>
        <w:bottom w:val="none" w:sz="0" w:space="0" w:color="auto"/>
        <w:right w:val="none" w:sz="0" w:space="0" w:color="auto"/>
      </w:divBdr>
    </w:div>
    <w:div w:id="2083789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lalesdarzelis.lt/" TargetMode="External"/><Relationship Id="rId13" Type="http://schemas.openxmlformats.org/officeDocument/2006/relationships/chart" Target="charts/chart4.xml"/><Relationship Id="rId18" Type="http://schemas.openxmlformats.org/officeDocument/2006/relationships/chart" Target="charts/chart9.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chart" Target="charts/chart6.xml"/><Relationship Id="rId10" Type="http://schemas.openxmlformats.org/officeDocument/2006/relationships/chart" Target="charts/chart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ilalesdarzelis.lt/" TargetMode="External"/><Relationship Id="rId14" Type="http://schemas.openxmlformats.org/officeDocument/2006/relationships/chart" Target="charts/chart5.xml"/></Relationships>
</file>

<file path=word/charts/_rels/chart1.xml.rels><?xml version="1.0" encoding="UTF-8" standalone="yes"?>
<Relationships xmlns="http://schemas.openxmlformats.org/package/2006/relationships"><Relationship Id="rId3" Type="http://schemas.openxmlformats.org/officeDocument/2006/relationships/oleObject" Target="file:///D:\Vaik&#371;%20&#382;ingesni&#371;%20pasiekimai\skrituline%20diagrama.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D:\Vaik&#371;%20&#382;ingesni&#371;%20pasiekimai\skrituline%20diagrama.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D:\Vaik&#371;%20&#382;ingesni&#371;%20pasiekimai\pASIEKIMU%20VERTINIMAS.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D:\Vaik&#371;%20&#382;ingesni&#371;%20pasiekimai\skrituline%20diagrama.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HP\Downloads\II_jaunesniuju_grupiu_zingsniu_vidurkiai_atnaujinta.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HP\Downloads\Viduriniu_grupiu_vidurkiai.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HP\Downloads\Viduriniu_grupiu_zingsniu_vidurkiai.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C:\Users\HP\Downloads\Vyresniuju_grupiu_vidurkiai.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C:\Users\HP\Downloads\Vyresniuju_grupiu_zingsniu_vidurkiai%20(1).xlsx" TargetMode="External"/><Relationship Id="rId2" Type="http://schemas.microsoft.com/office/2011/relationships/chartColorStyle" Target="colors9.xml"/><Relationship Id="rId1" Type="http://schemas.microsoft.com/office/2011/relationships/chartStyle" Target="style9.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lt-LT"/>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extLst>
              <c:ext xmlns:c16="http://schemas.microsoft.com/office/drawing/2014/chart" uri="{C3380CC4-5D6E-409C-BE32-E72D297353CC}">
                <c16:uniqueId val="{00000001-F7F3-4BD9-9437-A2E9C8C1F7F2}"/>
              </c:ext>
            </c:extLst>
          </c:dPt>
          <c:dPt>
            <c:idx val="1"/>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c:spPr>
            <c:extLst>
              <c:ext xmlns:c16="http://schemas.microsoft.com/office/drawing/2014/chart" uri="{C3380CC4-5D6E-409C-BE32-E72D297353CC}">
                <c16:uniqueId val="{00000003-F7F3-4BD9-9437-A2E9C8C1F7F2}"/>
              </c:ext>
            </c:extLst>
          </c:dPt>
          <c:dPt>
            <c:idx val="2"/>
            <c:bubble3D val="0"/>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c:spPr>
            <c:extLst>
              <c:ext xmlns:c16="http://schemas.microsoft.com/office/drawing/2014/chart" uri="{C3380CC4-5D6E-409C-BE32-E72D297353CC}">
                <c16:uniqueId val="{00000005-F7F3-4BD9-9437-A2E9C8C1F7F2}"/>
              </c:ext>
            </c:extLst>
          </c:dPt>
          <c:dLbls>
            <c:spPr>
              <a:noFill/>
              <a:ln>
                <a:noFill/>
              </a:ln>
              <a:effectLst/>
            </c:spPr>
            <c:txPr>
              <a:bodyPr rot="0" spcFirstLastPara="1" vertOverflow="ellipsis" vert="horz" wrap="square" lIns="38100" tIns="19050" rIns="38100" bIns="19050" anchor="ctr" anchorCtr="1">
                <a:spAutoFit/>
              </a:bodyPr>
              <a:lstStyle/>
              <a:p>
                <a:pPr>
                  <a:defRPr sz="1600" b="0" i="0" u="none" strike="noStrike" kern="1200" baseline="0">
                    <a:solidFill>
                      <a:schemeClr val="tx2"/>
                    </a:solidFill>
                    <a:latin typeface="Times New Roman" panose="02020603050405020304" pitchFamily="18" charset="0"/>
                    <a:ea typeface="+mn-ea"/>
                    <a:cs typeface="Times New Roman" panose="02020603050405020304" pitchFamily="18" charset="0"/>
                  </a:defRPr>
                </a:pPr>
                <a:endParaRPr lang="lt-LT"/>
              </a:p>
            </c:txPr>
            <c:dLblPos val="bestFit"/>
            <c:showLegendKey val="0"/>
            <c:showVal val="1"/>
            <c:showCatName val="0"/>
            <c:showSerName val="0"/>
            <c:showPercent val="0"/>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Sheet1!$C$4:$C$6</c:f>
              <c:strCache>
                <c:ptCount val="3"/>
                <c:pt idx="0">
                  <c:v>Viršijo</c:v>
                </c:pt>
                <c:pt idx="1">
                  <c:v>Atitiko</c:v>
                </c:pt>
                <c:pt idx="2">
                  <c:v>Neatitiko</c:v>
                </c:pt>
              </c:strCache>
            </c:strRef>
          </c:cat>
          <c:val>
            <c:numRef>
              <c:f>Sheet1!$D$4:$D$6</c:f>
              <c:numCache>
                <c:formatCode>General</c:formatCode>
                <c:ptCount val="3"/>
                <c:pt idx="0">
                  <c:v>54.5</c:v>
                </c:pt>
                <c:pt idx="1">
                  <c:v>20.7</c:v>
                </c:pt>
                <c:pt idx="2">
                  <c:v>14.5</c:v>
                </c:pt>
              </c:numCache>
            </c:numRef>
          </c:val>
          <c:extLst>
            <c:ext xmlns:c16="http://schemas.microsoft.com/office/drawing/2014/chart" uri="{C3380CC4-5D6E-409C-BE32-E72D297353CC}">
              <c16:uniqueId val="{00000006-F7F3-4BD9-9437-A2E9C8C1F7F2}"/>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lt-LT"/>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2">
          <a:lumMod val="15000"/>
          <a:lumOff val="85000"/>
        </a:schemeClr>
      </a:solidFill>
      <a:round/>
    </a:ln>
    <a:effectLst/>
  </c:spPr>
  <c:txPr>
    <a:bodyPr/>
    <a:lstStyle/>
    <a:p>
      <a:pPr>
        <a:defRPr/>
      </a:pPr>
      <a:endParaRPr lang="lt-LT"/>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lt-L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lt-LT" sz="1400" b="1" i="0" u="none" strike="noStrike" kern="1200" baseline="0" dirty="0">
                <a:solidFill>
                  <a:schemeClr val="tx1"/>
                </a:solidFill>
                <a:latin typeface="Times New Roman" panose="02020603050405020304" pitchFamily="18" charset="0"/>
                <a:cs typeface="Times New Roman" panose="02020603050405020304" pitchFamily="18" charset="0"/>
              </a:rPr>
              <a:t>I jaunesniųjų grupių </a:t>
            </a:r>
            <a:r>
              <a:rPr lang="lt-LT" sz="1400" b="1" i="0" u="none" strike="noStrike" kern="1200" baseline="0" dirty="0" err="1">
                <a:solidFill>
                  <a:schemeClr val="tx1"/>
                </a:solidFill>
                <a:latin typeface="Times New Roman" panose="02020603050405020304" pitchFamily="18" charset="0"/>
                <a:cs typeface="Times New Roman" panose="02020603050405020304" pitchFamily="18" charset="0"/>
              </a:rPr>
              <a:t>udytinių</a:t>
            </a:r>
            <a:r>
              <a:rPr lang="lt-LT" sz="1400" b="1" i="0" u="none" strike="noStrike" kern="1200" baseline="0" dirty="0">
                <a:solidFill>
                  <a:schemeClr val="tx1"/>
                </a:solidFill>
                <a:latin typeface="Times New Roman" panose="02020603050405020304" pitchFamily="18" charset="0"/>
                <a:cs typeface="Times New Roman" panose="02020603050405020304" pitchFamily="18" charset="0"/>
              </a:rPr>
              <a:t> vertinimas</a:t>
            </a:r>
          </a:p>
          <a:p>
            <a:pPr>
              <a:defRPr/>
            </a:pPr>
            <a:r>
              <a:rPr lang="lt-LT" sz="1400" b="1" i="0" u="none" strike="noStrike" kern="1200" baseline="0" dirty="0">
                <a:solidFill>
                  <a:schemeClr val="tx1"/>
                </a:solidFill>
                <a:latin typeface="Times New Roman" panose="02020603050405020304" pitchFamily="18" charset="0"/>
                <a:cs typeface="Times New Roman" panose="02020603050405020304" pitchFamily="18" charset="0"/>
              </a:rPr>
              <a:t> (pagal grupes)</a:t>
            </a:r>
            <a:endParaRPr lang="en-US" sz="1400" b="1" i="0" u="none" strike="noStrike" kern="1200" baseline="0" dirty="0">
              <a:solidFill>
                <a:schemeClr val="tx1"/>
              </a:solidFill>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lt-LT"/>
        </a:p>
      </c:txPr>
    </c:title>
    <c:autoTitleDeleted val="0"/>
    <c:plotArea>
      <c:layout/>
      <c:barChart>
        <c:barDir val="col"/>
        <c:grouping val="clustered"/>
        <c:varyColors val="0"/>
        <c:ser>
          <c:idx val="0"/>
          <c:order val="0"/>
          <c:tx>
            <c:strRef>
              <c:f>Sheet2!$D$4</c:f>
              <c:strCache>
                <c:ptCount val="1"/>
                <c:pt idx="0">
                  <c:v>Vidurkis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lt-LT"/>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Sheet2!$C$5:$C$8</c:f>
              <c:strCache>
                <c:ptCount val="4"/>
                <c:pt idx="0">
                  <c:v>Nykštukų gr.</c:v>
                </c:pt>
                <c:pt idx="1">
                  <c:v>Ąžuoliukų gr.</c:v>
                </c:pt>
                <c:pt idx="2">
                  <c:v>Kačiukų gr.</c:v>
                </c:pt>
                <c:pt idx="3">
                  <c:v>Skruzdėliukų gr.</c:v>
                </c:pt>
              </c:strCache>
            </c:strRef>
          </c:cat>
          <c:val>
            <c:numRef>
              <c:f>Sheet2!$D$5:$D$8</c:f>
              <c:numCache>
                <c:formatCode>General</c:formatCode>
                <c:ptCount val="4"/>
                <c:pt idx="0">
                  <c:v>1.8</c:v>
                </c:pt>
                <c:pt idx="1">
                  <c:v>2.5</c:v>
                </c:pt>
                <c:pt idx="2">
                  <c:v>2.8</c:v>
                </c:pt>
                <c:pt idx="3">
                  <c:v>2.7</c:v>
                </c:pt>
              </c:numCache>
            </c:numRef>
          </c:val>
          <c:extLst>
            <c:ext xmlns:c16="http://schemas.microsoft.com/office/drawing/2014/chart" uri="{C3380CC4-5D6E-409C-BE32-E72D297353CC}">
              <c16:uniqueId val="{00000000-FD09-4D84-9C12-2B0CCC534E5F}"/>
            </c:ext>
          </c:extLst>
        </c:ser>
        <c:dLbls>
          <c:dLblPos val="outEnd"/>
          <c:showLegendKey val="0"/>
          <c:showVal val="1"/>
          <c:showCatName val="0"/>
          <c:showSerName val="0"/>
          <c:showPercent val="0"/>
          <c:showBubbleSize val="0"/>
        </c:dLbls>
        <c:gapWidth val="219"/>
        <c:overlap val="-27"/>
        <c:axId val="677238136"/>
        <c:axId val="677240656"/>
      </c:barChart>
      <c:catAx>
        <c:axId val="6772381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crossAx val="677240656"/>
        <c:crosses val="autoZero"/>
        <c:auto val="1"/>
        <c:lblAlgn val="ctr"/>
        <c:lblOffset val="100"/>
        <c:noMultiLvlLbl val="0"/>
      </c:catAx>
      <c:valAx>
        <c:axId val="67724065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lt-LT"/>
          </a:p>
        </c:txPr>
        <c:crossAx val="677238136"/>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lt-LT"/>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lt-L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rtl="0">
              <a:defRPr sz="140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r>
              <a:rPr lang="lt-LT" b="1"/>
              <a:t>I jaunesniųjų grupių ugdytinių pasiekimų vertinimas (pagal žingsnius)</a:t>
            </a:r>
            <a:endParaRPr lang="en-US" b="1"/>
          </a:p>
          <a:p>
            <a:pPr algn="ctr" rtl="0">
              <a:defRPr/>
            </a:pPr>
            <a:endParaRPr lang="en-US"/>
          </a:p>
        </c:rich>
      </c:tx>
      <c:overlay val="0"/>
      <c:spPr>
        <a:noFill/>
        <a:ln>
          <a:noFill/>
        </a:ln>
        <a:effectLst/>
      </c:spPr>
      <c:txPr>
        <a:bodyPr rot="0" spcFirstLastPara="1" vertOverflow="ellipsis" vert="horz" wrap="square" anchor="ctr" anchorCtr="1"/>
        <a:lstStyle/>
        <a:p>
          <a:pPr algn="ctr" rtl="0">
            <a:defRPr sz="140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endParaRPr lang="lt-LT"/>
        </a:p>
      </c:txPr>
    </c:title>
    <c:autoTitleDeleted val="0"/>
    <c:plotArea>
      <c:layout/>
      <c:barChart>
        <c:barDir val="col"/>
        <c:grouping val="clustered"/>
        <c:varyColors val="0"/>
        <c:ser>
          <c:idx val="0"/>
          <c:order val="0"/>
          <c:tx>
            <c:strRef>
              <c:f>Sheet1!$C$1</c:f>
              <c:strCache>
                <c:ptCount val="1"/>
                <c:pt idx="0">
                  <c:v>Vidurkis</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lt-LT"/>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Sheet1!$A$2:$B$19</c:f>
              <c:multiLvlStrCache>
                <c:ptCount val="18"/>
                <c:lvl>
                  <c:pt idx="0">
                    <c:v>Kasdieniai gyvenimo įgūdžiai</c:v>
                  </c:pt>
                  <c:pt idx="1">
                    <c:v>Fizinis aktyvumas</c:v>
                  </c:pt>
                  <c:pt idx="2">
                    <c:v>Emocijų suvokimas ir raiška</c:v>
                  </c:pt>
                  <c:pt idx="3">
                    <c:v>Savireguliacija ir savikontrolė</c:v>
                  </c:pt>
                  <c:pt idx="4">
                    <c:v>Savivoka ir savigarba</c:v>
                  </c:pt>
                  <c:pt idx="5">
                    <c:v>Santykiai su suaugusiais</c:v>
                  </c:pt>
                  <c:pt idx="6">
                    <c:v>Santykiai su bendraamžiais</c:v>
                  </c:pt>
                  <c:pt idx="7">
                    <c:v>Sakytinė kalba</c:v>
                  </c:pt>
                  <c:pt idx="8">
                    <c:v>Rašytinė kalba</c:v>
                  </c:pt>
                  <c:pt idx="9">
                    <c:v>Aplinkos pažinimas</c:v>
                  </c:pt>
                  <c:pt idx="10">
                    <c:v>Skaičiavimas ir matavimas</c:v>
                  </c:pt>
                  <c:pt idx="11">
                    <c:v>Meninė raiška</c:v>
                  </c:pt>
                  <c:pt idx="12">
                    <c:v>Estetinis suvokimas</c:v>
                  </c:pt>
                  <c:pt idx="13">
                    <c:v>Iniciatyvumas ir atkaklumas</c:v>
                  </c:pt>
                  <c:pt idx="14">
                    <c:v>Tyrinėjimas</c:v>
                  </c:pt>
                  <c:pt idx="15">
                    <c:v>Problemų sprendimas</c:v>
                  </c:pt>
                  <c:pt idx="16">
                    <c:v>Kūrybiškumas</c:v>
                  </c:pt>
                  <c:pt idx="17">
                    <c:v>Mokėjimas mokytis</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lvl>
              </c:multiLvlStrCache>
            </c:multiLvlStrRef>
          </c:cat>
          <c:val>
            <c:numRef>
              <c:f>Sheet1!$C$2:$C$19</c:f>
              <c:numCache>
                <c:formatCode>General</c:formatCode>
                <c:ptCount val="18"/>
                <c:pt idx="0">
                  <c:v>2.4900000000000002</c:v>
                </c:pt>
                <c:pt idx="1">
                  <c:v>2.5299999999999998</c:v>
                </c:pt>
                <c:pt idx="2">
                  <c:v>2.44</c:v>
                </c:pt>
                <c:pt idx="3">
                  <c:v>2.42</c:v>
                </c:pt>
                <c:pt idx="4">
                  <c:v>2.4300000000000002</c:v>
                </c:pt>
                <c:pt idx="5">
                  <c:v>2.5299999999999998</c:v>
                </c:pt>
                <c:pt idx="6">
                  <c:v>2.5</c:v>
                </c:pt>
                <c:pt idx="7">
                  <c:v>2.3199999999999998</c:v>
                </c:pt>
                <c:pt idx="8">
                  <c:v>2.37</c:v>
                </c:pt>
                <c:pt idx="9">
                  <c:v>2.46</c:v>
                </c:pt>
                <c:pt idx="10">
                  <c:v>2.27</c:v>
                </c:pt>
                <c:pt idx="11">
                  <c:v>2.46</c:v>
                </c:pt>
                <c:pt idx="12">
                  <c:v>2.42</c:v>
                </c:pt>
                <c:pt idx="13">
                  <c:v>2.4500000000000002</c:v>
                </c:pt>
                <c:pt idx="14">
                  <c:v>2.4</c:v>
                </c:pt>
                <c:pt idx="15">
                  <c:v>2.4</c:v>
                </c:pt>
                <c:pt idx="16">
                  <c:v>2.4500000000000002</c:v>
                </c:pt>
                <c:pt idx="17">
                  <c:v>2.4300000000000002</c:v>
                </c:pt>
              </c:numCache>
            </c:numRef>
          </c:val>
          <c:extLst>
            <c:ext xmlns:c16="http://schemas.microsoft.com/office/drawing/2014/chart" uri="{C3380CC4-5D6E-409C-BE32-E72D297353CC}">
              <c16:uniqueId val="{00000000-A152-4C2A-9FE6-9F513E13460C}"/>
            </c:ext>
          </c:extLst>
        </c:ser>
        <c:dLbls>
          <c:dLblPos val="outEnd"/>
          <c:showLegendKey val="0"/>
          <c:showVal val="1"/>
          <c:showCatName val="0"/>
          <c:showSerName val="0"/>
          <c:showPercent val="0"/>
          <c:showBubbleSize val="0"/>
        </c:dLbls>
        <c:gapWidth val="219"/>
        <c:overlap val="-27"/>
        <c:axId val="685328128"/>
        <c:axId val="685329568"/>
      </c:barChart>
      <c:catAx>
        <c:axId val="685328128"/>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lt-LT"/>
                  <a:t>PASIEKIMŲ ŽINGSNIAI</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lt-LT"/>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lt-LT"/>
          </a:p>
        </c:txPr>
        <c:crossAx val="685329568"/>
        <c:crosses val="autoZero"/>
        <c:auto val="1"/>
        <c:lblAlgn val="ctr"/>
        <c:lblOffset val="100"/>
        <c:noMultiLvlLbl val="0"/>
      </c:catAx>
      <c:valAx>
        <c:axId val="685329568"/>
        <c:scaling>
          <c:orientation val="minMax"/>
        </c:scaling>
        <c:delete val="1"/>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lt-LT"/>
                  <a:t>VIDURKIS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lt-LT"/>
            </a:p>
          </c:txPr>
        </c:title>
        <c:numFmt formatCode="General" sourceLinked="1"/>
        <c:majorTickMark val="none"/>
        <c:minorTickMark val="none"/>
        <c:tickLblPos val="nextTo"/>
        <c:crossAx val="685328128"/>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solidFill>
            <a:schemeClr val="tx1"/>
          </a:solidFill>
          <a:latin typeface="Times New Roman" panose="02020603050405020304" pitchFamily="18" charset="0"/>
          <a:cs typeface="Times New Roman" panose="02020603050405020304" pitchFamily="18" charset="0"/>
        </a:defRPr>
      </a:pPr>
      <a:endParaRPr lang="lt-LT"/>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lt-L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r>
              <a:rPr lang="lt-LT" b="1"/>
              <a:t>II jaunesniųjų grupių ugdytinių pasiekimų vertinimas (pagal grupes)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endParaRPr lang="lt-LT"/>
        </a:p>
      </c:txPr>
    </c:title>
    <c:autoTitleDeleted val="0"/>
    <c:plotArea>
      <c:layout/>
      <c:barChart>
        <c:barDir val="col"/>
        <c:grouping val="clustered"/>
        <c:varyColors val="0"/>
        <c:ser>
          <c:idx val="0"/>
          <c:order val="0"/>
          <c:tx>
            <c:strRef>
              <c:f>Sheet3!$D$4</c:f>
              <c:strCache>
                <c:ptCount val="1"/>
                <c:pt idx="0">
                  <c:v>Vidurkis</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lt-LT"/>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Sheet3!$C$5:$C$8</c:f>
              <c:strCache>
                <c:ptCount val="4"/>
                <c:pt idx="0">
                  <c:v>Lašelių gr.</c:v>
                </c:pt>
                <c:pt idx="1">
                  <c:v>Širdukų gr.</c:v>
                </c:pt>
                <c:pt idx="2">
                  <c:v>Voveriukų gr.</c:v>
                </c:pt>
                <c:pt idx="3">
                  <c:v>Varliukų gr.</c:v>
                </c:pt>
              </c:strCache>
            </c:strRef>
          </c:cat>
          <c:val>
            <c:numRef>
              <c:f>Sheet3!$D$5:$D$8</c:f>
              <c:numCache>
                <c:formatCode>General</c:formatCode>
                <c:ptCount val="4"/>
                <c:pt idx="0">
                  <c:v>3.7</c:v>
                </c:pt>
                <c:pt idx="1">
                  <c:v>3.9</c:v>
                </c:pt>
                <c:pt idx="2">
                  <c:v>3.4</c:v>
                </c:pt>
                <c:pt idx="3">
                  <c:v>3.4</c:v>
                </c:pt>
              </c:numCache>
            </c:numRef>
          </c:val>
          <c:extLst>
            <c:ext xmlns:c16="http://schemas.microsoft.com/office/drawing/2014/chart" uri="{C3380CC4-5D6E-409C-BE32-E72D297353CC}">
              <c16:uniqueId val="{00000000-128C-4F34-BB2B-5E19CABBCC0B}"/>
            </c:ext>
          </c:extLst>
        </c:ser>
        <c:dLbls>
          <c:dLblPos val="outEnd"/>
          <c:showLegendKey val="0"/>
          <c:showVal val="1"/>
          <c:showCatName val="0"/>
          <c:showSerName val="0"/>
          <c:showPercent val="0"/>
          <c:showBubbleSize val="0"/>
        </c:dLbls>
        <c:gapWidth val="219"/>
        <c:overlap val="-27"/>
        <c:axId val="608898656"/>
        <c:axId val="608899016"/>
      </c:barChart>
      <c:catAx>
        <c:axId val="60889865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lt-LT"/>
                  <a:t>GRUPĖS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lt-LT"/>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lt-LT"/>
          </a:p>
        </c:txPr>
        <c:crossAx val="608899016"/>
        <c:crosses val="autoZero"/>
        <c:auto val="1"/>
        <c:lblAlgn val="ctr"/>
        <c:lblOffset val="100"/>
        <c:noMultiLvlLbl val="0"/>
      </c:catAx>
      <c:valAx>
        <c:axId val="60889901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lt-LT"/>
                  <a:t>VIDURKIS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lt-LT"/>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lt-LT"/>
          </a:p>
        </c:txPr>
        <c:crossAx val="608898656"/>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solidFill>
            <a:schemeClr val="tx1"/>
          </a:solidFill>
          <a:latin typeface="Times New Roman" panose="02020603050405020304" pitchFamily="18" charset="0"/>
          <a:cs typeface="Times New Roman" panose="02020603050405020304" pitchFamily="18" charset="0"/>
        </a:defRPr>
      </a:pPr>
      <a:endParaRPr lang="lt-LT"/>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lt-L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lt-LT" sz="1400" b="1" i="0" u="none" strike="noStrike" kern="1200" spc="0" baseline="0">
                <a:solidFill>
                  <a:sysClr val="windowText" lastClr="000000">
                    <a:lumMod val="65000"/>
                    <a:lumOff val="35000"/>
                  </a:sysClr>
                </a:solidFill>
                <a:latin typeface="Times New Roman" panose="02020603050405020304" pitchFamily="18" charset="0"/>
                <a:cs typeface="Times New Roman" panose="02020603050405020304" pitchFamily="18" charset="0"/>
              </a:rPr>
              <a:t>II jaunesniųjų grupių ugdytinių pasiekimų vertinimas </a:t>
            </a:r>
          </a:p>
          <a:p>
            <a:pPr>
              <a:defRPr/>
            </a:pPr>
            <a:r>
              <a:rPr lang="lt-LT" sz="1400" b="1" i="0" u="none" strike="noStrike" kern="1200" spc="0" baseline="0">
                <a:solidFill>
                  <a:sysClr val="windowText" lastClr="000000">
                    <a:lumMod val="65000"/>
                    <a:lumOff val="35000"/>
                  </a:sysClr>
                </a:solidFill>
                <a:latin typeface="Times New Roman" panose="02020603050405020304" pitchFamily="18" charset="0"/>
                <a:cs typeface="Times New Roman" panose="02020603050405020304" pitchFamily="18" charset="0"/>
              </a:rPr>
              <a:t>(pagal žingsnius)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lt-LT"/>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lt-LT"/>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Sheet1!$A$2:$B$19</c:f>
              <c:multiLvlStrCache>
                <c:ptCount val="18"/>
                <c:lvl>
                  <c:pt idx="0">
                    <c:v>Kasdieniai gyvenimo įgūdžiai</c:v>
                  </c:pt>
                  <c:pt idx="1">
                    <c:v>Fizinis aktyvumas</c:v>
                  </c:pt>
                  <c:pt idx="2">
                    <c:v>Emocijų suvokimas ir raiška</c:v>
                  </c:pt>
                  <c:pt idx="3">
                    <c:v>Savireguliacija ir savikontrolė</c:v>
                  </c:pt>
                  <c:pt idx="4">
                    <c:v>Savivoka ir savigarba</c:v>
                  </c:pt>
                  <c:pt idx="5">
                    <c:v>Santykiai su suaugusiais</c:v>
                  </c:pt>
                  <c:pt idx="6">
                    <c:v>Santykiai su bendraamžiais</c:v>
                  </c:pt>
                  <c:pt idx="7">
                    <c:v>Sakytinė kalba</c:v>
                  </c:pt>
                  <c:pt idx="8">
                    <c:v>Rašytinė kalba</c:v>
                  </c:pt>
                  <c:pt idx="9">
                    <c:v>Aplinkos pažinimas</c:v>
                  </c:pt>
                  <c:pt idx="10">
                    <c:v>Skaičiavimas ir matavimas</c:v>
                  </c:pt>
                  <c:pt idx="11">
                    <c:v>Meninė raiška</c:v>
                  </c:pt>
                  <c:pt idx="12">
                    <c:v>Estetinis suvokimas</c:v>
                  </c:pt>
                  <c:pt idx="13">
                    <c:v>Iniciatyvumas ir atkaklumas</c:v>
                  </c:pt>
                  <c:pt idx="14">
                    <c:v>Tyrinėjimas</c:v>
                  </c:pt>
                  <c:pt idx="15">
                    <c:v>Problemų sprendimas</c:v>
                  </c:pt>
                  <c:pt idx="16">
                    <c:v>Kūrybiškumas</c:v>
                  </c:pt>
                  <c:pt idx="17">
                    <c:v>Mokėjimas mokytis</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lvl>
              </c:multiLvlStrCache>
            </c:multiLvlStrRef>
          </c:cat>
          <c:val>
            <c:numRef>
              <c:f>Sheet1!$C$2:$C$19</c:f>
              <c:numCache>
                <c:formatCode>General</c:formatCode>
                <c:ptCount val="18"/>
                <c:pt idx="0">
                  <c:v>3.72</c:v>
                </c:pt>
                <c:pt idx="1">
                  <c:v>3.73</c:v>
                </c:pt>
                <c:pt idx="2">
                  <c:v>3.62</c:v>
                </c:pt>
                <c:pt idx="3">
                  <c:v>3.56</c:v>
                </c:pt>
                <c:pt idx="4">
                  <c:v>3.62</c:v>
                </c:pt>
                <c:pt idx="5">
                  <c:v>3.71</c:v>
                </c:pt>
                <c:pt idx="6">
                  <c:v>3.72</c:v>
                </c:pt>
                <c:pt idx="7">
                  <c:v>3.57</c:v>
                </c:pt>
                <c:pt idx="8">
                  <c:v>3.57</c:v>
                </c:pt>
                <c:pt idx="9">
                  <c:v>3.61</c:v>
                </c:pt>
                <c:pt idx="10">
                  <c:v>3.54</c:v>
                </c:pt>
                <c:pt idx="11">
                  <c:v>3.61</c:v>
                </c:pt>
                <c:pt idx="12">
                  <c:v>3.62</c:v>
                </c:pt>
                <c:pt idx="13">
                  <c:v>3.6</c:v>
                </c:pt>
                <c:pt idx="14">
                  <c:v>3.72</c:v>
                </c:pt>
                <c:pt idx="15">
                  <c:v>3.51</c:v>
                </c:pt>
                <c:pt idx="16">
                  <c:v>3.66</c:v>
                </c:pt>
                <c:pt idx="17">
                  <c:v>3.57</c:v>
                </c:pt>
              </c:numCache>
            </c:numRef>
          </c:val>
          <c:extLst>
            <c:ext xmlns:c16="http://schemas.microsoft.com/office/drawing/2014/chart" uri="{C3380CC4-5D6E-409C-BE32-E72D297353CC}">
              <c16:uniqueId val="{00000000-39A0-4E9E-A988-0D8321062143}"/>
            </c:ext>
          </c:extLst>
        </c:ser>
        <c:dLbls>
          <c:dLblPos val="outEnd"/>
          <c:showLegendKey val="0"/>
          <c:showVal val="1"/>
          <c:showCatName val="0"/>
          <c:showSerName val="0"/>
          <c:showPercent val="0"/>
          <c:showBubbleSize val="0"/>
        </c:dLbls>
        <c:gapWidth val="219"/>
        <c:overlap val="-27"/>
        <c:axId val="388177384"/>
        <c:axId val="388175584"/>
      </c:barChart>
      <c:catAx>
        <c:axId val="38817738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lt-LT">
                    <a:latin typeface="Times New Roman" panose="02020603050405020304" pitchFamily="18" charset="0"/>
                    <a:cs typeface="Times New Roman" panose="02020603050405020304" pitchFamily="18" charset="0"/>
                  </a:rPr>
                  <a:t>Pasiekimų</a:t>
                </a:r>
                <a:r>
                  <a:rPr lang="lt-LT" baseline="0">
                    <a:latin typeface="Times New Roman" panose="02020603050405020304" pitchFamily="18" charset="0"/>
                    <a:cs typeface="Times New Roman" panose="02020603050405020304" pitchFamily="18" charset="0"/>
                  </a:rPr>
                  <a:t> žingniai</a:t>
                </a:r>
                <a:endParaRPr lang="lt-LT">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crossAx val="388175584"/>
        <c:crosses val="autoZero"/>
        <c:auto val="1"/>
        <c:lblAlgn val="ctr"/>
        <c:lblOffset val="100"/>
        <c:noMultiLvlLbl val="0"/>
      </c:catAx>
      <c:valAx>
        <c:axId val="38817558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lt-LT">
                    <a:latin typeface="Times New Roman" panose="02020603050405020304" pitchFamily="18" charset="0"/>
                    <a:cs typeface="Times New Roman" panose="02020603050405020304" pitchFamily="18" charset="0"/>
                  </a:rPr>
                  <a:t>Vidurkis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crossAx val="388177384"/>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lt-LT"/>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lt-L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lt-LT" b="1"/>
              <a:t>Viduriniųjų grupių ugdytinių pasiekimų vertinimas (pagal grupes)</a:t>
            </a:r>
            <a:endParaRPr lang="en-US" b="1"/>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title>
    <c:autoTitleDeleted val="0"/>
    <c:plotArea>
      <c:layout/>
      <c:barChart>
        <c:barDir val="col"/>
        <c:grouping val="clustered"/>
        <c:varyColors val="0"/>
        <c:ser>
          <c:idx val="0"/>
          <c:order val="0"/>
          <c:tx>
            <c:strRef>
              <c:f>Sheet1!$B$1</c:f>
              <c:strCache>
                <c:ptCount val="1"/>
                <c:pt idx="0">
                  <c:v>Vidurkis</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lt-LT"/>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Žirniukų gr.</c:v>
                </c:pt>
                <c:pt idx="1">
                  <c:v>Kiškučių gr.</c:v>
                </c:pt>
                <c:pt idx="2">
                  <c:v>Drugelių gr.</c:v>
                </c:pt>
                <c:pt idx="3">
                  <c:v>Saulučių gr.</c:v>
                </c:pt>
                <c:pt idx="4">
                  <c:v>Ančiukų gr.</c:v>
                </c:pt>
              </c:strCache>
            </c:strRef>
          </c:cat>
          <c:val>
            <c:numRef>
              <c:f>Sheet1!$B$2:$B$6</c:f>
              <c:numCache>
                <c:formatCode>General</c:formatCode>
                <c:ptCount val="5"/>
                <c:pt idx="0">
                  <c:v>4.7</c:v>
                </c:pt>
                <c:pt idx="1">
                  <c:v>4.7</c:v>
                </c:pt>
                <c:pt idx="2">
                  <c:v>4.0999999999999996</c:v>
                </c:pt>
                <c:pt idx="3">
                  <c:v>4.8</c:v>
                </c:pt>
                <c:pt idx="4">
                  <c:v>4.4000000000000004</c:v>
                </c:pt>
              </c:numCache>
            </c:numRef>
          </c:val>
          <c:extLst>
            <c:ext xmlns:c16="http://schemas.microsoft.com/office/drawing/2014/chart" uri="{C3380CC4-5D6E-409C-BE32-E72D297353CC}">
              <c16:uniqueId val="{00000000-02A5-44E9-B8E1-BF8C9D51A116}"/>
            </c:ext>
          </c:extLst>
        </c:ser>
        <c:dLbls>
          <c:dLblPos val="outEnd"/>
          <c:showLegendKey val="0"/>
          <c:showVal val="1"/>
          <c:showCatName val="0"/>
          <c:showSerName val="0"/>
          <c:showPercent val="0"/>
          <c:showBubbleSize val="0"/>
        </c:dLbls>
        <c:gapWidth val="219"/>
        <c:overlap val="-27"/>
        <c:axId val="656828664"/>
        <c:axId val="656829024"/>
      </c:barChart>
      <c:catAx>
        <c:axId val="65682866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lt-LT"/>
                  <a:t>GRUPĖS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crossAx val="656829024"/>
        <c:crosses val="autoZero"/>
        <c:auto val="1"/>
        <c:lblAlgn val="ctr"/>
        <c:lblOffset val="100"/>
        <c:noMultiLvlLbl val="0"/>
      </c:catAx>
      <c:valAx>
        <c:axId val="65682902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lt-LT"/>
                  <a:t>VIDURKIS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crossAx val="656828664"/>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lt-LT"/>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lt-L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lt-LT" b="1"/>
              <a:t>Viduriniųjų grupių ugdytinių pasiekimų vertinimas (pagal žingsnius)</a:t>
            </a:r>
            <a:endParaRPr lang="en-US" b="1"/>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title>
    <c:autoTitleDeleted val="0"/>
    <c:plotArea>
      <c:layout/>
      <c:barChart>
        <c:barDir val="col"/>
        <c:grouping val="clustered"/>
        <c:varyColors val="0"/>
        <c:ser>
          <c:idx val="0"/>
          <c:order val="0"/>
          <c:tx>
            <c:strRef>
              <c:f>Sheet1!$C$1</c:f>
              <c:strCache>
                <c:ptCount val="1"/>
                <c:pt idx="0">
                  <c:v>Vidurkis</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lt-LT"/>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Sheet1!$A$2:$B$19</c:f>
              <c:multiLvlStrCache>
                <c:ptCount val="18"/>
                <c:lvl>
                  <c:pt idx="0">
                    <c:v>Kasdieniai gyvenimo įgūdžiai</c:v>
                  </c:pt>
                  <c:pt idx="1">
                    <c:v>Fizinis aktyvumas</c:v>
                  </c:pt>
                  <c:pt idx="2">
                    <c:v>Emocijų suvokimas ir raiška</c:v>
                  </c:pt>
                  <c:pt idx="3">
                    <c:v>Savireguliacija ir savikontrolė</c:v>
                  </c:pt>
                  <c:pt idx="4">
                    <c:v>Savivoka ir savigarba</c:v>
                  </c:pt>
                  <c:pt idx="5">
                    <c:v>Santykiai su suaugusiais</c:v>
                  </c:pt>
                  <c:pt idx="6">
                    <c:v>Santykiai su bendraamžiais</c:v>
                  </c:pt>
                  <c:pt idx="7">
                    <c:v>Sakytinė kalba</c:v>
                  </c:pt>
                  <c:pt idx="8">
                    <c:v>Rašytinė kalba</c:v>
                  </c:pt>
                  <c:pt idx="9">
                    <c:v>Aplinkos pažinimas</c:v>
                  </c:pt>
                  <c:pt idx="10">
                    <c:v>Skaičiavimas ir matavimas</c:v>
                  </c:pt>
                  <c:pt idx="11">
                    <c:v>Meninė raiška</c:v>
                  </c:pt>
                  <c:pt idx="12">
                    <c:v>Estetinis suvokimas</c:v>
                  </c:pt>
                  <c:pt idx="13">
                    <c:v>Iniciatyvumas ir atkaklumas</c:v>
                  </c:pt>
                  <c:pt idx="14">
                    <c:v>Tyrinėjimas</c:v>
                  </c:pt>
                  <c:pt idx="15">
                    <c:v>Problemų sprendimas</c:v>
                  </c:pt>
                  <c:pt idx="16">
                    <c:v>Kūrybiškumas</c:v>
                  </c:pt>
                  <c:pt idx="17">
                    <c:v>Mokėjimas mokytis</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lvl>
              </c:multiLvlStrCache>
            </c:multiLvlStrRef>
          </c:cat>
          <c:val>
            <c:numRef>
              <c:f>Sheet1!$C$2:$C$19</c:f>
              <c:numCache>
                <c:formatCode>General</c:formatCode>
                <c:ptCount val="18"/>
                <c:pt idx="0">
                  <c:v>4.72</c:v>
                </c:pt>
                <c:pt idx="1">
                  <c:v>4.6399999999999997</c:v>
                </c:pt>
                <c:pt idx="2">
                  <c:v>4.49</c:v>
                </c:pt>
                <c:pt idx="3">
                  <c:v>4.5199999999999996</c:v>
                </c:pt>
                <c:pt idx="4">
                  <c:v>4.58</c:v>
                </c:pt>
                <c:pt idx="5">
                  <c:v>4.62</c:v>
                </c:pt>
                <c:pt idx="6">
                  <c:v>4.59</c:v>
                </c:pt>
                <c:pt idx="7">
                  <c:v>4.4400000000000004</c:v>
                </c:pt>
                <c:pt idx="8">
                  <c:v>4.4400000000000004</c:v>
                </c:pt>
                <c:pt idx="9">
                  <c:v>4.59</c:v>
                </c:pt>
                <c:pt idx="10">
                  <c:v>4.42</c:v>
                </c:pt>
                <c:pt idx="11">
                  <c:v>4.58</c:v>
                </c:pt>
                <c:pt idx="12">
                  <c:v>4.67</c:v>
                </c:pt>
                <c:pt idx="13">
                  <c:v>4.51</c:v>
                </c:pt>
                <c:pt idx="14">
                  <c:v>4.57</c:v>
                </c:pt>
                <c:pt idx="15">
                  <c:v>4.41</c:v>
                </c:pt>
                <c:pt idx="16">
                  <c:v>4.55</c:v>
                </c:pt>
                <c:pt idx="17">
                  <c:v>4.53</c:v>
                </c:pt>
              </c:numCache>
            </c:numRef>
          </c:val>
          <c:extLst>
            <c:ext xmlns:c16="http://schemas.microsoft.com/office/drawing/2014/chart" uri="{C3380CC4-5D6E-409C-BE32-E72D297353CC}">
              <c16:uniqueId val="{00000000-E9EA-4400-AE32-DAFBC3F7EC74}"/>
            </c:ext>
          </c:extLst>
        </c:ser>
        <c:dLbls>
          <c:dLblPos val="outEnd"/>
          <c:showLegendKey val="0"/>
          <c:showVal val="1"/>
          <c:showCatName val="0"/>
          <c:showSerName val="0"/>
          <c:showPercent val="0"/>
          <c:showBubbleSize val="0"/>
        </c:dLbls>
        <c:gapWidth val="219"/>
        <c:overlap val="-27"/>
        <c:axId val="667024800"/>
        <c:axId val="667025880"/>
      </c:barChart>
      <c:catAx>
        <c:axId val="667024800"/>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lt-LT"/>
                  <a:t>Pasiekimų žingsniai</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crossAx val="667025880"/>
        <c:crosses val="autoZero"/>
        <c:auto val="1"/>
        <c:lblAlgn val="ctr"/>
        <c:lblOffset val="100"/>
        <c:noMultiLvlLbl val="0"/>
      </c:catAx>
      <c:valAx>
        <c:axId val="66702588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lt-LT"/>
                  <a:t>Vidurkis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crossAx val="667024800"/>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lt-LT"/>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lt-L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rtl="0">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lt-LT" sz="1400" b="1" i="0" u="none" strike="noStrike" kern="1200" spc="0" baseline="0">
                <a:solidFill>
                  <a:sysClr val="windowText" lastClr="000000">
                    <a:lumMod val="65000"/>
                    <a:lumOff val="35000"/>
                  </a:sysClr>
                </a:solidFill>
                <a:latin typeface="Times New Roman" panose="02020603050405020304" pitchFamily="18" charset="0"/>
                <a:cs typeface="Times New Roman" panose="02020603050405020304" pitchFamily="18" charset="0"/>
              </a:rPr>
              <a:t>Vyresniųjų grupių ugdytinių pasiekimų vertinimas (pagal grupes)</a:t>
            </a:r>
            <a:endParaRPr lang="en-US" sz="1400" b="1" i="0" u="none" strike="noStrike" kern="1200" spc="0" baseline="0">
              <a:solidFill>
                <a:sysClr val="windowText" lastClr="000000">
                  <a:lumMod val="65000"/>
                  <a:lumOff val="35000"/>
                </a:sysClr>
              </a:solidFill>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lgn="ctr" rtl="0">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title>
    <c:autoTitleDeleted val="0"/>
    <c:plotArea>
      <c:layout/>
      <c:barChart>
        <c:barDir val="col"/>
        <c:grouping val="clustered"/>
        <c:varyColors val="0"/>
        <c:ser>
          <c:idx val="0"/>
          <c:order val="0"/>
          <c:tx>
            <c:strRef>
              <c:f>Sheet1!$B$1</c:f>
              <c:strCache>
                <c:ptCount val="1"/>
                <c:pt idx="0">
                  <c:v>Vidurkis</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lt-LT"/>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Pelėdžiukų gr.</c:v>
                </c:pt>
                <c:pt idx="1">
                  <c:v>Bitučių gr.</c:v>
                </c:pt>
                <c:pt idx="2">
                  <c:v>Boružėlių gr.</c:v>
                </c:pt>
                <c:pt idx="3">
                  <c:v>Meškučių gr.</c:v>
                </c:pt>
              </c:strCache>
            </c:strRef>
          </c:cat>
          <c:val>
            <c:numRef>
              <c:f>Sheet1!$B$2:$B$5</c:f>
              <c:numCache>
                <c:formatCode>General</c:formatCode>
                <c:ptCount val="4"/>
                <c:pt idx="0">
                  <c:v>5.7</c:v>
                </c:pt>
                <c:pt idx="1">
                  <c:v>5.7</c:v>
                </c:pt>
                <c:pt idx="2">
                  <c:v>5.7</c:v>
                </c:pt>
                <c:pt idx="3">
                  <c:v>5.9</c:v>
                </c:pt>
              </c:numCache>
            </c:numRef>
          </c:val>
          <c:extLst>
            <c:ext xmlns:c16="http://schemas.microsoft.com/office/drawing/2014/chart" uri="{C3380CC4-5D6E-409C-BE32-E72D297353CC}">
              <c16:uniqueId val="{00000000-F343-474F-93C2-B10AE1767503}"/>
            </c:ext>
          </c:extLst>
        </c:ser>
        <c:dLbls>
          <c:dLblPos val="outEnd"/>
          <c:showLegendKey val="0"/>
          <c:showVal val="1"/>
          <c:showCatName val="0"/>
          <c:showSerName val="0"/>
          <c:showPercent val="0"/>
          <c:showBubbleSize val="0"/>
        </c:dLbls>
        <c:gapWidth val="219"/>
        <c:overlap val="-27"/>
        <c:axId val="448057936"/>
        <c:axId val="601617464"/>
      </c:barChart>
      <c:catAx>
        <c:axId val="44805793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lt-LT"/>
                  <a:t>GRUPĖS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crossAx val="601617464"/>
        <c:crosses val="autoZero"/>
        <c:auto val="1"/>
        <c:lblAlgn val="ctr"/>
        <c:lblOffset val="100"/>
        <c:noMultiLvlLbl val="0"/>
      </c:catAx>
      <c:valAx>
        <c:axId val="60161746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lt-LT"/>
                  <a:t>VIDURKIS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crossAx val="448057936"/>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lt-LT"/>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lt-L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rtl="0">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lt-LT" b="1"/>
              <a:t>Vyresniųjų grupių ugdytinių pasiekimų vertinimas (pagal žingsnius)</a:t>
            </a:r>
          </a:p>
        </c:rich>
      </c:tx>
      <c:overlay val="0"/>
      <c:spPr>
        <a:noFill/>
        <a:ln>
          <a:noFill/>
        </a:ln>
        <a:effectLst/>
      </c:spPr>
      <c:txPr>
        <a:bodyPr rot="0" spcFirstLastPara="1" vertOverflow="ellipsis" vert="horz" wrap="square" anchor="ctr" anchorCtr="1"/>
        <a:lstStyle/>
        <a:p>
          <a:pPr algn="ctr" rtl="0">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title>
    <c:autoTitleDeleted val="0"/>
    <c:plotArea>
      <c:layout/>
      <c:barChart>
        <c:barDir val="col"/>
        <c:grouping val="clustered"/>
        <c:varyColors val="0"/>
        <c:ser>
          <c:idx val="0"/>
          <c:order val="0"/>
          <c:tx>
            <c:strRef>
              <c:f>Sheet1!$C$1</c:f>
              <c:strCache>
                <c:ptCount val="1"/>
                <c:pt idx="0">
                  <c:v>Vidurkis</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lt-LT"/>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Sheet1!$A$2:$B$19</c:f>
              <c:multiLvlStrCache>
                <c:ptCount val="18"/>
                <c:lvl>
                  <c:pt idx="0">
                    <c:v>Kasdieniai gyvenimo įgūdžiai</c:v>
                  </c:pt>
                  <c:pt idx="1">
                    <c:v>Fizinis aktyvumas</c:v>
                  </c:pt>
                  <c:pt idx="2">
                    <c:v>Emocijų suvokimas ir raiška</c:v>
                  </c:pt>
                  <c:pt idx="3">
                    <c:v>Savireguliacija ir savikontrolė</c:v>
                  </c:pt>
                  <c:pt idx="4">
                    <c:v>Savivoka ir savigarba</c:v>
                  </c:pt>
                  <c:pt idx="5">
                    <c:v>Santykiai su suaugusiais</c:v>
                  </c:pt>
                  <c:pt idx="6">
                    <c:v>Santykiai su bendraamžiais</c:v>
                  </c:pt>
                  <c:pt idx="7">
                    <c:v>Sakytinė kalba</c:v>
                  </c:pt>
                  <c:pt idx="8">
                    <c:v>Rašytinė kalba</c:v>
                  </c:pt>
                  <c:pt idx="9">
                    <c:v>Aplinkos pažinimas</c:v>
                  </c:pt>
                  <c:pt idx="10">
                    <c:v>Skaičiavimas ir matavimas</c:v>
                  </c:pt>
                  <c:pt idx="11">
                    <c:v>Meninė raiška</c:v>
                  </c:pt>
                  <c:pt idx="12">
                    <c:v>Estetinis suvokimas</c:v>
                  </c:pt>
                  <c:pt idx="13">
                    <c:v>Iniciatyvumas ir atkaklumas</c:v>
                  </c:pt>
                  <c:pt idx="14">
                    <c:v>Tyrinėjimas</c:v>
                  </c:pt>
                  <c:pt idx="15">
                    <c:v>Problemų sprendimas</c:v>
                  </c:pt>
                  <c:pt idx="16">
                    <c:v>Kūrybiškumas</c:v>
                  </c:pt>
                  <c:pt idx="17">
                    <c:v>Mokėjimas mokytis</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lvl>
              </c:multiLvlStrCache>
            </c:multiLvlStrRef>
          </c:cat>
          <c:val>
            <c:numRef>
              <c:f>Sheet1!$C$2:$C$19</c:f>
              <c:numCache>
                <c:formatCode>General</c:formatCode>
                <c:ptCount val="18"/>
                <c:pt idx="0">
                  <c:v>5.89</c:v>
                </c:pt>
                <c:pt idx="1">
                  <c:v>5.91</c:v>
                </c:pt>
                <c:pt idx="2">
                  <c:v>5.82</c:v>
                </c:pt>
                <c:pt idx="3">
                  <c:v>5.77</c:v>
                </c:pt>
                <c:pt idx="4">
                  <c:v>5.85</c:v>
                </c:pt>
                <c:pt idx="5">
                  <c:v>5.79</c:v>
                </c:pt>
                <c:pt idx="6">
                  <c:v>5.85</c:v>
                </c:pt>
                <c:pt idx="7">
                  <c:v>5.7</c:v>
                </c:pt>
                <c:pt idx="8">
                  <c:v>5.65</c:v>
                </c:pt>
                <c:pt idx="9">
                  <c:v>5.82</c:v>
                </c:pt>
                <c:pt idx="10">
                  <c:v>5.77</c:v>
                </c:pt>
                <c:pt idx="11">
                  <c:v>5.78</c:v>
                </c:pt>
                <c:pt idx="12">
                  <c:v>5.89</c:v>
                </c:pt>
                <c:pt idx="13">
                  <c:v>5.71</c:v>
                </c:pt>
                <c:pt idx="14">
                  <c:v>5.86</c:v>
                </c:pt>
                <c:pt idx="15">
                  <c:v>5.67</c:v>
                </c:pt>
                <c:pt idx="16">
                  <c:v>5.77</c:v>
                </c:pt>
                <c:pt idx="17">
                  <c:v>5.66</c:v>
                </c:pt>
              </c:numCache>
            </c:numRef>
          </c:val>
          <c:extLst>
            <c:ext xmlns:c16="http://schemas.microsoft.com/office/drawing/2014/chart" uri="{C3380CC4-5D6E-409C-BE32-E72D297353CC}">
              <c16:uniqueId val="{00000000-E694-434F-870F-88BBF8B0B8AC}"/>
            </c:ext>
          </c:extLst>
        </c:ser>
        <c:dLbls>
          <c:dLblPos val="outEnd"/>
          <c:showLegendKey val="0"/>
          <c:showVal val="1"/>
          <c:showCatName val="0"/>
          <c:showSerName val="0"/>
          <c:showPercent val="0"/>
          <c:showBubbleSize val="0"/>
        </c:dLbls>
        <c:gapWidth val="219"/>
        <c:overlap val="-27"/>
        <c:axId val="684177576"/>
        <c:axId val="684181176"/>
      </c:barChart>
      <c:catAx>
        <c:axId val="68417757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lt-LT"/>
                  <a:t>Pasiekimų žingsniai</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crossAx val="684181176"/>
        <c:crosses val="autoZero"/>
        <c:auto val="1"/>
        <c:lblAlgn val="ctr"/>
        <c:lblOffset val="100"/>
        <c:noMultiLvlLbl val="0"/>
      </c:catAx>
      <c:valAx>
        <c:axId val="68418117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lt-LT"/>
                  <a:t>Vidurkis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lt-LT"/>
          </a:p>
        </c:txPr>
        <c:crossAx val="684177576"/>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lt-LT"/>
    </a:p>
  </c:txPr>
  <c:externalData r:id="rId3">
    <c:autoUpdate val="0"/>
  </c:externalData>
</c:chartSpace>
</file>

<file path=word/charts/colors1.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5">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6053E1-5F7D-4C20-9EDB-5A66E1C77F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2827</Words>
  <Characters>1612</Characters>
  <Application>Microsoft Office Word</Application>
  <DocSecurity>0</DocSecurity>
  <Lines>13</Lines>
  <Paragraphs>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dc:creator>
  <cp:keywords/>
  <dc:description/>
  <cp:lastModifiedBy>Vartotojas</cp:lastModifiedBy>
  <cp:revision>2</cp:revision>
  <dcterms:created xsi:type="dcterms:W3CDTF">2026-02-10T13:29:00Z</dcterms:created>
  <dcterms:modified xsi:type="dcterms:W3CDTF">2026-02-10T13:29:00Z</dcterms:modified>
</cp:coreProperties>
</file>